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6"/>
      </w:tblGrid>
      <w:tr w:rsidR="00CA3E45" w14:paraId="6FC299D3" w14:textId="77777777" w:rsidTr="004335DE">
        <w:trPr>
          <w:trHeight w:val="1969"/>
        </w:trPr>
        <w:tc>
          <w:tcPr>
            <w:tcW w:w="9646" w:type="dxa"/>
          </w:tcPr>
          <w:p w14:paraId="192F1712" w14:textId="77777777" w:rsidR="00621C4A" w:rsidRPr="00621C4A" w:rsidRDefault="00621C4A" w:rsidP="00C0183F">
            <w:pPr>
              <w:pStyle w:val="Documenttitle"/>
              <w:spacing w:line="240" w:lineRule="auto"/>
              <w:rPr>
                <w:color w:val="00D7BD" w:themeColor="accent1"/>
              </w:rPr>
            </w:pPr>
            <w:r w:rsidRPr="00621C4A">
              <w:rPr>
                <w:color w:val="00D7BD" w:themeColor="accent1"/>
              </w:rPr>
              <w:t>Colt Number Hosting</w:t>
            </w:r>
          </w:p>
          <w:p w14:paraId="3E94DBD7" w14:textId="0E4EF341" w:rsidR="00CA3E45" w:rsidRPr="00F37579" w:rsidRDefault="007D72A8" w:rsidP="00C0183F">
            <w:pPr>
              <w:pStyle w:val="Documenttitle"/>
              <w:spacing w:line="240" w:lineRule="auto"/>
              <w:rPr>
                <w:color w:val="00D7BD" w:themeColor="accent1"/>
              </w:rPr>
            </w:pPr>
            <w:r>
              <w:rPr>
                <w:color w:val="00D7BD" w:themeColor="accent1"/>
              </w:rPr>
              <w:t>23</w:t>
            </w:r>
            <w:r w:rsidRPr="007D72A8">
              <w:rPr>
                <w:color w:val="00D7BD" w:themeColor="accent1"/>
                <w:vertAlign w:val="superscript"/>
              </w:rPr>
              <w:t>rd</w:t>
            </w:r>
            <w:r>
              <w:rPr>
                <w:color w:val="00D7BD" w:themeColor="accent1"/>
              </w:rPr>
              <w:t xml:space="preserve"> July</w:t>
            </w:r>
            <w:r w:rsidR="00621C4A" w:rsidRPr="00621C4A">
              <w:rPr>
                <w:color w:val="00D7BD" w:themeColor="accent1"/>
              </w:rPr>
              <w:t xml:space="preserve"> 202</w:t>
            </w:r>
            <w:r w:rsidR="004A6E0B">
              <w:rPr>
                <w:color w:val="00D7BD" w:themeColor="accent1"/>
              </w:rPr>
              <w:t>2</w:t>
            </w:r>
            <w:r w:rsidR="00621C4A" w:rsidRPr="00621C4A">
              <w:rPr>
                <w:color w:val="00D7BD" w:themeColor="accent1"/>
              </w:rPr>
              <w:t xml:space="preserve"> Release Notes</w:t>
            </w:r>
          </w:p>
        </w:tc>
      </w:tr>
    </w:tbl>
    <w:p w14:paraId="6CD1901A" w14:textId="7DB9A8A2" w:rsidR="001E5239" w:rsidRPr="001E5239" w:rsidRDefault="00621C4A" w:rsidP="00C0183F">
      <w:pPr>
        <w:pStyle w:val="Heading1"/>
        <w:spacing w:line="240" w:lineRule="auto"/>
      </w:pPr>
      <w:r>
        <w:t>Introduction</w:t>
      </w:r>
    </w:p>
    <w:p w14:paraId="3E922923" w14:textId="2D9E49FE" w:rsidR="00621C4A" w:rsidRDefault="00621C4A" w:rsidP="00C0183F">
      <w:pPr>
        <w:spacing w:after="200" w:line="240" w:lineRule="auto"/>
      </w:pPr>
      <w:r>
        <w:t xml:space="preserve">This document describes the Colt Number Hosting </w:t>
      </w:r>
      <w:r w:rsidR="002B252B">
        <w:t>23</w:t>
      </w:r>
      <w:r w:rsidR="002B252B" w:rsidRPr="002B252B">
        <w:rPr>
          <w:vertAlign w:val="superscript"/>
        </w:rPr>
        <w:t>rd</w:t>
      </w:r>
      <w:r w:rsidR="002B252B">
        <w:t xml:space="preserve"> July </w:t>
      </w:r>
      <w:r w:rsidR="004A6E0B">
        <w:t>2022</w:t>
      </w:r>
      <w:r>
        <w:t xml:space="preserve"> release. </w:t>
      </w:r>
    </w:p>
    <w:p w14:paraId="015EC474" w14:textId="5874308F" w:rsidR="00F44040" w:rsidRDefault="00621C4A" w:rsidP="00C0183F">
      <w:pPr>
        <w:spacing w:after="200" w:line="240" w:lineRule="auto"/>
      </w:pPr>
      <w:r>
        <w:t>The release will focus on:</w:t>
      </w:r>
    </w:p>
    <w:p w14:paraId="1ABF5C28" w14:textId="493D1AAC" w:rsidR="007D72A8" w:rsidRPr="007D72A8" w:rsidRDefault="007D72A8" w:rsidP="00ED7069">
      <w:pPr>
        <w:pStyle w:val="ListParagraph"/>
        <w:numPr>
          <w:ilvl w:val="0"/>
          <w:numId w:val="5"/>
        </w:numPr>
        <w:spacing w:after="200" w:line="240" w:lineRule="auto"/>
        <w:rPr>
          <w:bCs/>
        </w:rPr>
      </w:pPr>
      <w:r>
        <w:t xml:space="preserve">Introduction of optional ‘Administrative address’ in Netherlands for </w:t>
      </w:r>
      <w:r w:rsidR="004C3D4E">
        <w:t xml:space="preserve">the </w:t>
      </w:r>
      <w:r>
        <w:t>port-in flow</w:t>
      </w:r>
    </w:p>
    <w:p w14:paraId="2E824699" w14:textId="0C231FB6" w:rsidR="007D72A8" w:rsidRPr="003C1F9A" w:rsidRDefault="007D72A8" w:rsidP="00ED7069">
      <w:pPr>
        <w:pStyle w:val="ListParagraph"/>
        <w:numPr>
          <w:ilvl w:val="0"/>
          <w:numId w:val="5"/>
        </w:numPr>
        <w:spacing w:after="200" w:line="240" w:lineRule="auto"/>
        <w:rPr>
          <w:bCs/>
        </w:rPr>
      </w:pPr>
      <w:r>
        <w:t>Refresh of port-in quarantine and port-in reactivation rules</w:t>
      </w:r>
    </w:p>
    <w:p w14:paraId="3A8449DB" w14:textId="0313E196" w:rsidR="003C1F9A" w:rsidRPr="007D72A8" w:rsidRDefault="003C1F9A" w:rsidP="00ED7069">
      <w:pPr>
        <w:pStyle w:val="ListParagraph"/>
        <w:numPr>
          <w:ilvl w:val="0"/>
          <w:numId w:val="5"/>
        </w:numPr>
        <w:spacing w:after="200" w:line="240" w:lineRule="auto"/>
        <w:rPr>
          <w:bCs/>
        </w:rPr>
      </w:pPr>
      <w:r>
        <w:t>Introduction of JWT authentication mechanism for REST APIs</w:t>
      </w:r>
    </w:p>
    <w:p w14:paraId="163F31C3" w14:textId="073009F0" w:rsidR="007D72A8" w:rsidRPr="00C84C6A" w:rsidRDefault="007D72A8" w:rsidP="000B1359">
      <w:pPr>
        <w:pStyle w:val="ListParagraph"/>
        <w:numPr>
          <w:ilvl w:val="0"/>
          <w:numId w:val="5"/>
        </w:numPr>
        <w:spacing w:after="200" w:line="240" w:lineRule="auto"/>
        <w:rPr>
          <w:bCs/>
        </w:rPr>
      </w:pPr>
      <w:r>
        <w:t>Number on Demand &amp; API improvements</w:t>
      </w:r>
    </w:p>
    <w:p w14:paraId="015EA9AA" w14:textId="64821601" w:rsidR="00621C4A" w:rsidRPr="002D0234" w:rsidRDefault="00621C4A" w:rsidP="00C0183F">
      <w:pPr>
        <w:spacing w:after="200" w:line="240" w:lineRule="auto"/>
        <w:rPr>
          <w:b/>
          <w:color w:val="D51240" w:themeColor="accent6" w:themeShade="BF"/>
        </w:rPr>
      </w:pPr>
      <w:r w:rsidRPr="002D0234">
        <w:rPr>
          <w:b/>
          <w:color w:val="D51240" w:themeColor="accent6" w:themeShade="BF"/>
        </w:rPr>
        <w:t>These changes might imply development at your end, so please read this document carefully.</w:t>
      </w:r>
    </w:p>
    <w:p w14:paraId="279F9336" w14:textId="59B711B6" w:rsidR="00621C4A" w:rsidRDefault="00621C4A" w:rsidP="00C0183F">
      <w:pPr>
        <w:spacing w:after="200" w:line="240" w:lineRule="auto"/>
      </w:pPr>
      <w:r>
        <w:t xml:space="preserve">The changes in this release require your support during our test period. The Customer UAT is planned </w:t>
      </w:r>
      <w:r w:rsidRPr="00B47C74">
        <w:t>from</w:t>
      </w:r>
      <w:r w:rsidR="004A6E0B">
        <w:t xml:space="preserve"> </w:t>
      </w:r>
      <w:r w:rsidR="00E14EF5">
        <w:rPr>
          <w:color w:val="00A59B" w:themeColor="accent2"/>
        </w:rPr>
        <w:t>9</w:t>
      </w:r>
      <w:r w:rsidR="00E14EF5" w:rsidRPr="00E14EF5">
        <w:rPr>
          <w:color w:val="00A59B" w:themeColor="accent2"/>
          <w:vertAlign w:val="superscript"/>
        </w:rPr>
        <w:t>th</w:t>
      </w:r>
      <w:r w:rsidR="00E14EF5">
        <w:rPr>
          <w:color w:val="00A59B" w:themeColor="accent2"/>
        </w:rPr>
        <w:t xml:space="preserve"> June</w:t>
      </w:r>
      <w:r w:rsidR="006868B5" w:rsidRPr="00383AAC">
        <w:rPr>
          <w:color w:val="00A59B" w:themeColor="accent2"/>
        </w:rPr>
        <w:t xml:space="preserve"> 2022</w:t>
      </w:r>
      <w:r w:rsidR="00CF79DE" w:rsidRPr="00383AAC">
        <w:rPr>
          <w:color w:val="00A59B" w:themeColor="accent2"/>
        </w:rPr>
        <w:t xml:space="preserve"> </w:t>
      </w:r>
      <w:r w:rsidR="004A6E0B" w:rsidRPr="00383AAC">
        <w:rPr>
          <w:color w:val="00A59B" w:themeColor="accent2"/>
        </w:rPr>
        <w:t xml:space="preserve">to </w:t>
      </w:r>
      <w:r w:rsidR="00E14EF5">
        <w:rPr>
          <w:color w:val="00A59B" w:themeColor="accent2"/>
        </w:rPr>
        <w:t>29</w:t>
      </w:r>
      <w:r w:rsidR="00E14EF5" w:rsidRPr="00E14EF5">
        <w:rPr>
          <w:color w:val="00A59B" w:themeColor="accent2"/>
          <w:vertAlign w:val="superscript"/>
        </w:rPr>
        <w:t>th</w:t>
      </w:r>
      <w:r w:rsidR="00E14EF5">
        <w:rPr>
          <w:color w:val="00A59B" w:themeColor="accent2"/>
        </w:rPr>
        <w:t xml:space="preserve"> June</w:t>
      </w:r>
      <w:r w:rsidR="004A6E0B" w:rsidRPr="00383AAC">
        <w:rPr>
          <w:color w:val="00A59B" w:themeColor="accent2"/>
        </w:rPr>
        <w:t xml:space="preserve"> 202</w:t>
      </w:r>
      <w:r w:rsidR="00CF79DE" w:rsidRPr="00383AAC">
        <w:rPr>
          <w:color w:val="00A59B" w:themeColor="accent2"/>
        </w:rPr>
        <w:t>2</w:t>
      </w:r>
      <w:r w:rsidRPr="00DB6E94">
        <w:t>.</w:t>
      </w:r>
      <w:r w:rsidRPr="00CD335A">
        <w:t xml:space="preserve"> Please</w:t>
      </w:r>
      <w:r>
        <w:t xml:space="preserve"> get in touch with </w:t>
      </w:r>
      <w:hyperlink r:id="rId11" w:history="1">
        <w:r w:rsidRPr="00AB53D6">
          <w:rPr>
            <w:rStyle w:val="Hyperlink"/>
          </w:rPr>
          <w:t>NumberHostingUATSupportTeam@COLT.NET</w:t>
        </w:r>
      </w:hyperlink>
      <w:r>
        <w:t xml:space="preserve"> if you would like to participate in the UAT.</w:t>
      </w:r>
    </w:p>
    <w:p w14:paraId="65371D10" w14:textId="77777777" w:rsidR="00682D31" w:rsidRDefault="00682D31" w:rsidP="00C0183F">
      <w:pPr>
        <w:spacing w:after="200" w:line="240" w:lineRule="auto"/>
      </w:pPr>
    </w:p>
    <w:p w14:paraId="653D62A7" w14:textId="726752A4" w:rsidR="00FB344B" w:rsidRPr="00AE7497" w:rsidRDefault="00FB344B" w:rsidP="00C0183F">
      <w:pPr>
        <w:pStyle w:val="Heading1"/>
        <w:spacing w:line="240" w:lineRule="auto"/>
      </w:pPr>
      <w:r w:rsidRPr="00AE7497">
        <w:t>Document change control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FB344B" w:rsidRPr="00FB344B" w14:paraId="33EAB147" w14:textId="77777777" w:rsidTr="00FB344B">
        <w:tc>
          <w:tcPr>
            <w:tcW w:w="1129" w:type="dxa"/>
          </w:tcPr>
          <w:p w14:paraId="7CE35E50" w14:textId="2E2A866B" w:rsidR="00FB344B" w:rsidRPr="00FB344B" w:rsidRDefault="00FB344B" w:rsidP="00C0183F">
            <w:pPr>
              <w:spacing w:line="240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Version</w:t>
            </w:r>
          </w:p>
        </w:tc>
        <w:tc>
          <w:tcPr>
            <w:tcW w:w="8080" w:type="dxa"/>
          </w:tcPr>
          <w:p w14:paraId="3505A07D" w14:textId="103E3169" w:rsidR="00FB344B" w:rsidRPr="00FB344B" w:rsidRDefault="00FB344B" w:rsidP="00C0183F">
            <w:pPr>
              <w:spacing w:line="240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Change description</w:t>
            </w:r>
          </w:p>
        </w:tc>
      </w:tr>
      <w:tr w:rsidR="00FB344B" w14:paraId="5A927164" w14:textId="77777777" w:rsidTr="00FB344B">
        <w:tc>
          <w:tcPr>
            <w:tcW w:w="1129" w:type="dxa"/>
          </w:tcPr>
          <w:p w14:paraId="4D9FD0C7" w14:textId="6FDEE098" w:rsidR="00FB344B" w:rsidRDefault="00FB344B" w:rsidP="00C0183F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V</w:t>
            </w:r>
            <w:r w:rsidR="005D0BD4">
              <w:rPr>
                <w:lang w:val="fr-FR"/>
              </w:rPr>
              <w:t>1</w:t>
            </w:r>
          </w:p>
        </w:tc>
        <w:tc>
          <w:tcPr>
            <w:tcW w:w="8080" w:type="dxa"/>
          </w:tcPr>
          <w:p w14:paraId="6C502B1A" w14:textId="06F0B63B" w:rsidR="00FB344B" w:rsidRDefault="00E14EF5" w:rsidP="00C0183F">
            <w:pPr>
              <w:spacing w:line="240" w:lineRule="auto"/>
              <w:rPr>
                <w:lang w:val="fr-FR"/>
              </w:rPr>
            </w:pPr>
            <w:r>
              <w:t>23</w:t>
            </w:r>
            <w:r w:rsidRPr="00E14EF5">
              <w:rPr>
                <w:vertAlign w:val="superscript"/>
              </w:rPr>
              <w:t>rd</w:t>
            </w:r>
            <w:r>
              <w:t xml:space="preserve"> July</w:t>
            </w:r>
            <w:r w:rsidR="004A6E0B">
              <w:t xml:space="preserve"> 2022</w:t>
            </w:r>
            <w:r w:rsidR="004335DE">
              <w:t xml:space="preserve"> </w:t>
            </w:r>
            <w:r w:rsidR="005D0BD4">
              <w:rPr>
                <w:lang w:val="fr-FR"/>
              </w:rPr>
              <w:t>Release note</w:t>
            </w:r>
          </w:p>
        </w:tc>
      </w:tr>
    </w:tbl>
    <w:p w14:paraId="60CA023F" w14:textId="7B6704AA" w:rsidR="003C1F9A" w:rsidRDefault="003C1F9A" w:rsidP="00C0183F">
      <w:pPr>
        <w:spacing w:line="240" w:lineRule="auto"/>
        <w:rPr>
          <w:lang w:val="en-US"/>
        </w:rPr>
      </w:pPr>
    </w:p>
    <w:p w14:paraId="3A2ADE87" w14:textId="77777777" w:rsidR="003C1F9A" w:rsidRDefault="003C1F9A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1AB3B658" w14:textId="77777777" w:rsidR="004A6E0B" w:rsidRPr="00FB344B" w:rsidRDefault="004A6E0B" w:rsidP="00C0183F">
      <w:pPr>
        <w:spacing w:line="240" w:lineRule="auto"/>
        <w:rPr>
          <w:lang w:val="en-US"/>
        </w:rPr>
      </w:pPr>
    </w:p>
    <w:p w14:paraId="124A7D98" w14:textId="2320754D" w:rsidR="00075B6E" w:rsidRDefault="00075B6E" w:rsidP="00D86652">
      <w:pPr>
        <w:pStyle w:val="Heading1"/>
        <w:spacing w:line="240" w:lineRule="auto"/>
      </w:pPr>
      <w:r>
        <w:t>NL Administrative address</w:t>
      </w:r>
      <w:r w:rsidR="00003192">
        <w:t xml:space="preserve"> in port-in</w:t>
      </w:r>
      <w:r w:rsidR="004C3D4E">
        <w:t xml:space="preserve"> orders</w:t>
      </w:r>
    </w:p>
    <w:p w14:paraId="79C64D5E" w14:textId="77777777" w:rsidR="00075B6E" w:rsidRDefault="00075B6E">
      <w:pPr>
        <w:spacing w:after="200" w:line="276" w:lineRule="auto"/>
      </w:pPr>
    </w:p>
    <w:p w14:paraId="2D8AEEE1" w14:textId="4114885D" w:rsidR="00CB580C" w:rsidRDefault="00CB580C" w:rsidP="00CB580C">
      <w:r w:rsidRPr="00436CA6">
        <w:t xml:space="preserve">As per </w:t>
      </w:r>
      <w:r w:rsidR="004C3D4E">
        <w:t xml:space="preserve">the </w:t>
      </w:r>
      <w:r w:rsidRPr="00436CA6">
        <w:t>porting regulation</w:t>
      </w:r>
      <w:r w:rsidR="004C3D4E">
        <w:t xml:space="preserve"> in the Netherlands</w:t>
      </w:r>
      <w:r w:rsidRPr="00436CA6">
        <w:t xml:space="preserve"> a customer may register number</w:t>
      </w:r>
      <w:r w:rsidR="004C3D4E">
        <w:t>s</w:t>
      </w:r>
      <w:r w:rsidRPr="00436CA6">
        <w:t xml:space="preserve"> </w:t>
      </w:r>
      <w:r w:rsidR="004C3D4E">
        <w:t>against</w:t>
      </w:r>
      <w:r w:rsidRPr="00436CA6">
        <w:t xml:space="preserve"> an administrative address </w:t>
      </w:r>
      <w:r w:rsidR="004C3D4E">
        <w:t xml:space="preserve">which is </w:t>
      </w:r>
      <w:r w:rsidRPr="00436CA6">
        <w:t xml:space="preserve">outside </w:t>
      </w:r>
      <w:r w:rsidR="004C3D4E">
        <w:t xml:space="preserve">of the local area of the number(s) </w:t>
      </w:r>
      <w:r w:rsidRPr="00436CA6">
        <w:t xml:space="preserve">as long as </w:t>
      </w:r>
      <w:r w:rsidR="004C3D4E">
        <w:t>the installation</w:t>
      </w:r>
      <w:r w:rsidRPr="00436CA6">
        <w:t xml:space="preserve"> address of the numbers is within the </w:t>
      </w:r>
      <w:r w:rsidR="004C3D4E">
        <w:t>local area associated with the local area code (LAC)</w:t>
      </w:r>
      <w:r w:rsidRPr="00436CA6">
        <w:t xml:space="preserve">. Porting validation rules dictate that this administrative address may be used in </w:t>
      </w:r>
      <w:r w:rsidR="004C3D4E">
        <w:t xml:space="preserve">the </w:t>
      </w:r>
      <w:r w:rsidRPr="00436CA6">
        <w:t xml:space="preserve">Port-in validation process. </w:t>
      </w:r>
      <w:r w:rsidR="00022C9E">
        <w:t>This means that</w:t>
      </w:r>
      <w:r w:rsidRPr="00436CA6">
        <w:t xml:space="preserve"> if the number can be matched to an end customer using an administrative address outside the </w:t>
      </w:r>
      <w:r w:rsidR="004C3D4E">
        <w:t xml:space="preserve">local </w:t>
      </w:r>
      <w:r w:rsidRPr="00436CA6">
        <w:t xml:space="preserve">area which differs from the </w:t>
      </w:r>
      <w:r w:rsidR="004C3D4E">
        <w:t>installation</w:t>
      </w:r>
      <w:r w:rsidRPr="00436CA6">
        <w:t xml:space="preserve"> address</w:t>
      </w:r>
      <w:r w:rsidR="004205D0">
        <w:t>,</w:t>
      </w:r>
      <w:r w:rsidRPr="00436CA6">
        <w:t xml:space="preserve"> this </w:t>
      </w:r>
      <w:r w:rsidR="004205D0">
        <w:t>must</w:t>
      </w:r>
      <w:r w:rsidRPr="00436CA6">
        <w:t xml:space="preserve"> be </w:t>
      </w:r>
      <w:r w:rsidR="004205D0">
        <w:t>deemed to be</w:t>
      </w:r>
      <w:r w:rsidRPr="00436CA6">
        <w:t xml:space="preserve"> correct and pass</w:t>
      </w:r>
      <w:r w:rsidR="004C3D4E">
        <w:t>ed</w:t>
      </w:r>
      <w:r w:rsidRPr="00436CA6">
        <w:t xml:space="preserve"> as a valid request. </w:t>
      </w:r>
    </w:p>
    <w:p w14:paraId="6B9CEDD6" w14:textId="57859413" w:rsidR="004205D0" w:rsidRDefault="0061797A" w:rsidP="00CB580C">
      <w:r w:rsidRPr="0061797A">
        <w:t>The admin</w:t>
      </w:r>
      <w:r w:rsidR="004205D0">
        <w:t>istrative</w:t>
      </w:r>
      <w:r w:rsidRPr="0061797A">
        <w:t xml:space="preserve"> address has </w:t>
      </w:r>
      <w:r w:rsidR="004205D0">
        <w:t xml:space="preserve">the </w:t>
      </w:r>
      <w:r w:rsidRPr="0061797A">
        <w:t>same address validation rules as</w:t>
      </w:r>
      <w:r w:rsidR="004205D0">
        <w:t xml:space="preserve"> the</w:t>
      </w:r>
      <w:r w:rsidRPr="0061797A">
        <w:t xml:space="preserve"> installation address. </w:t>
      </w:r>
      <w:r w:rsidR="004205D0">
        <w:t>There are 3 key points to note:</w:t>
      </w:r>
    </w:p>
    <w:p w14:paraId="50EB53F5" w14:textId="079BFB1F" w:rsidR="0061797A" w:rsidRDefault="004205D0" w:rsidP="004205D0">
      <w:pPr>
        <w:pStyle w:val="ListParagraph"/>
        <w:numPr>
          <w:ilvl w:val="0"/>
          <w:numId w:val="23"/>
        </w:numPr>
      </w:pPr>
      <w:r>
        <w:t>A customer can enter a PO box (Postbus) address in the administrative address but a PO box (Postbus) is not permitted in the installation address</w:t>
      </w:r>
    </w:p>
    <w:p w14:paraId="3C94A94D" w14:textId="05FD7C94" w:rsidR="004205D0" w:rsidRDefault="004205D0" w:rsidP="009707AA">
      <w:pPr>
        <w:pStyle w:val="ListParagraph"/>
        <w:numPr>
          <w:ilvl w:val="0"/>
          <w:numId w:val="23"/>
        </w:numPr>
      </w:pPr>
      <w:r>
        <w:t>The administrative address must be in the Netherlands (country code = NL)</w:t>
      </w:r>
    </w:p>
    <w:p w14:paraId="3B03781E" w14:textId="5788DC14" w:rsidR="00003192" w:rsidRDefault="00022C9E" w:rsidP="009707AA">
      <w:pPr>
        <w:pStyle w:val="ListParagraph"/>
        <w:numPr>
          <w:ilvl w:val="0"/>
          <w:numId w:val="23"/>
        </w:numPr>
      </w:pPr>
      <w:r>
        <w:t>Th</w:t>
      </w:r>
      <w:r w:rsidR="004205D0">
        <w:t>e</w:t>
      </w:r>
      <w:r>
        <w:t xml:space="preserve"> </w:t>
      </w:r>
      <w:r w:rsidR="004205D0">
        <w:t>use of the administrative address</w:t>
      </w:r>
      <w:r>
        <w:t xml:space="preserve"> is optional. </w:t>
      </w:r>
    </w:p>
    <w:p w14:paraId="7BC26547" w14:textId="7E44E25E" w:rsidR="00003192" w:rsidRDefault="00003192" w:rsidP="00CB580C">
      <w:r w:rsidRPr="00003192">
        <w:rPr>
          <w:b/>
          <w:bCs/>
          <w:i/>
          <w:iCs/>
          <w:u w:val="single"/>
        </w:rPr>
        <w:t>APIs impacted:</w:t>
      </w:r>
      <w:r>
        <w:t xml:space="preserve"> Port-In and bulk Port-In</w:t>
      </w:r>
    </w:p>
    <w:p w14:paraId="1F53CA78" w14:textId="5B2258A7" w:rsidR="00022C9E" w:rsidRDefault="00003192" w:rsidP="00CB580C">
      <w:r>
        <w:t>In summary, following the implementation of this change, you’ll be able to enter up to 3 addresses for your end customer.</w:t>
      </w:r>
    </w:p>
    <w:p w14:paraId="4FAFDBA7" w14:textId="6960C42A" w:rsidR="00003192" w:rsidRDefault="00003192" w:rsidP="00003192">
      <w:pPr>
        <w:pStyle w:val="ListParagraph"/>
        <w:numPr>
          <w:ilvl w:val="0"/>
          <w:numId w:val="22"/>
        </w:numPr>
      </w:pPr>
      <w:r>
        <w:t>Installation/Current address</w:t>
      </w:r>
      <w:r w:rsidR="004205D0">
        <w:t xml:space="preserve"> </w:t>
      </w:r>
      <w:r>
        <w:t>- Mandatory</w:t>
      </w:r>
    </w:p>
    <w:p w14:paraId="15B260BA" w14:textId="40527605" w:rsidR="00003192" w:rsidRDefault="00003192" w:rsidP="00003192">
      <w:pPr>
        <w:pStyle w:val="ListParagraph"/>
        <w:numPr>
          <w:ilvl w:val="0"/>
          <w:numId w:val="22"/>
        </w:numPr>
      </w:pPr>
      <w:r>
        <w:t>New Address</w:t>
      </w:r>
      <w:r w:rsidR="004205D0">
        <w:t xml:space="preserve"> </w:t>
      </w:r>
      <w:r>
        <w:t>- Optional</w:t>
      </w:r>
    </w:p>
    <w:p w14:paraId="53F3AFA7" w14:textId="56DCC357" w:rsidR="00003192" w:rsidRDefault="00003192" w:rsidP="00003192">
      <w:pPr>
        <w:pStyle w:val="ListParagraph"/>
        <w:numPr>
          <w:ilvl w:val="0"/>
          <w:numId w:val="22"/>
        </w:numPr>
      </w:pPr>
      <w:r>
        <w:t xml:space="preserve">Administrative Address – Optional </w:t>
      </w:r>
    </w:p>
    <w:p w14:paraId="0249200D" w14:textId="77777777" w:rsidR="00003192" w:rsidRPr="00003192" w:rsidRDefault="00003192" w:rsidP="00CB580C">
      <w:pPr>
        <w:rPr>
          <w:u w:val="single"/>
        </w:rPr>
      </w:pPr>
      <w:r w:rsidRPr="00003192">
        <w:rPr>
          <w:b/>
          <w:bCs/>
          <w:i/>
          <w:iCs/>
          <w:u w:val="single"/>
        </w:rPr>
        <w:t>Please note:</w:t>
      </w:r>
      <w:r w:rsidRPr="00003192">
        <w:rPr>
          <w:u w:val="single"/>
        </w:rPr>
        <w:t xml:space="preserve"> </w:t>
      </w:r>
    </w:p>
    <w:p w14:paraId="6E3EC53B" w14:textId="11764BDD" w:rsidR="00003192" w:rsidRDefault="00003192" w:rsidP="00003192">
      <w:pPr>
        <w:pStyle w:val="ListParagraph"/>
        <w:numPr>
          <w:ilvl w:val="0"/>
          <w:numId w:val="21"/>
        </w:numPr>
      </w:pPr>
      <w:r>
        <w:t>If only Installation/Current address is entered then only this address will be used for the emergency database entry.</w:t>
      </w:r>
    </w:p>
    <w:p w14:paraId="5191FE46" w14:textId="3E7FDECD" w:rsidR="00003192" w:rsidRDefault="00003192" w:rsidP="00003192">
      <w:pPr>
        <w:pStyle w:val="ListParagraph"/>
        <w:numPr>
          <w:ilvl w:val="0"/>
          <w:numId w:val="21"/>
        </w:numPr>
      </w:pPr>
      <w:r>
        <w:t>If both Installation/Current address and New Address is entered then the new address will be used for the emergency database entry.</w:t>
      </w:r>
    </w:p>
    <w:p w14:paraId="4A933218" w14:textId="4B8CD78A" w:rsidR="00003192" w:rsidRDefault="00003192" w:rsidP="00003192">
      <w:pPr>
        <w:pStyle w:val="ListParagraph"/>
        <w:numPr>
          <w:ilvl w:val="0"/>
          <w:numId w:val="21"/>
        </w:numPr>
      </w:pPr>
      <w:r>
        <w:t xml:space="preserve">The administrative address will not be used for </w:t>
      </w:r>
      <w:r w:rsidR="004205D0">
        <w:t xml:space="preserve">the </w:t>
      </w:r>
      <w:r>
        <w:t>emergency database entry.</w:t>
      </w:r>
    </w:p>
    <w:p w14:paraId="6AE7DA0D" w14:textId="34466C7D" w:rsidR="00144782" w:rsidRDefault="00CB580C" w:rsidP="00CB580C">
      <w:pPr>
        <w:spacing w:after="20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Updated structure and specification is </w:t>
      </w:r>
      <w:r w:rsidR="00022C9E">
        <w:rPr>
          <w:b/>
          <w:bCs/>
          <w:lang w:val="en-US"/>
        </w:rPr>
        <w:t>present in Appendix A and B.</w:t>
      </w:r>
    </w:p>
    <w:p w14:paraId="0CBCB83A" w14:textId="3EF4411E" w:rsidR="00003192" w:rsidRDefault="00003192">
      <w:pPr>
        <w:spacing w:after="20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3B72F0A5" w14:textId="77777777" w:rsidR="00003192" w:rsidRDefault="00003192" w:rsidP="00CB580C">
      <w:pPr>
        <w:spacing w:after="200" w:line="276" w:lineRule="auto"/>
        <w:rPr>
          <w:b/>
          <w:bCs/>
          <w:lang w:val="en-US"/>
        </w:rPr>
      </w:pPr>
    </w:p>
    <w:p w14:paraId="72BF4558" w14:textId="77777777" w:rsidR="00144782" w:rsidRDefault="00144782" w:rsidP="00144782">
      <w:pPr>
        <w:pStyle w:val="Heading1"/>
        <w:spacing w:line="240" w:lineRule="auto"/>
      </w:pPr>
      <w:r w:rsidRPr="00144782">
        <w:t>Port-In Quarantine period and Port-in Reactivation</w:t>
      </w:r>
    </w:p>
    <w:p w14:paraId="12C55103" w14:textId="77777777" w:rsidR="00144782" w:rsidRDefault="00144782" w:rsidP="00144782">
      <w:pPr>
        <w:rPr>
          <w:lang w:val="en-US"/>
        </w:rPr>
      </w:pPr>
    </w:p>
    <w:p w14:paraId="4D662B42" w14:textId="56E25098" w:rsidR="00353D1A" w:rsidRDefault="00C4583B" w:rsidP="00144782">
      <w:pPr>
        <w:rPr>
          <w:lang w:val="en-US"/>
        </w:rPr>
      </w:pPr>
      <w:r>
        <w:rPr>
          <w:lang w:val="en-US"/>
        </w:rPr>
        <w:t xml:space="preserve">When a </w:t>
      </w:r>
      <w:r w:rsidR="00144782">
        <w:rPr>
          <w:lang w:val="en-US"/>
        </w:rPr>
        <w:t xml:space="preserve">user </w:t>
      </w:r>
      <w:r>
        <w:rPr>
          <w:lang w:val="en-US"/>
        </w:rPr>
        <w:t>deactivates a</w:t>
      </w:r>
      <w:r w:rsidR="00144782">
        <w:rPr>
          <w:lang w:val="en-US"/>
        </w:rPr>
        <w:t xml:space="preserve"> port-in activ</w:t>
      </w:r>
      <w:r>
        <w:rPr>
          <w:lang w:val="en-US"/>
        </w:rPr>
        <w:t>ated</w:t>
      </w:r>
      <w:r w:rsidR="00144782">
        <w:rPr>
          <w:lang w:val="en-US"/>
        </w:rPr>
        <w:t xml:space="preserve"> number</w:t>
      </w:r>
      <w:r w:rsidR="00353D1A">
        <w:rPr>
          <w:lang w:val="en-US"/>
        </w:rPr>
        <w:t xml:space="preserve">, </w:t>
      </w:r>
      <w:r>
        <w:rPr>
          <w:lang w:val="en-US"/>
        </w:rPr>
        <w:t xml:space="preserve">the </w:t>
      </w:r>
      <w:r w:rsidR="00353D1A">
        <w:rPr>
          <w:lang w:val="en-US"/>
        </w:rPr>
        <w:t xml:space="preserve">quarantine </w:t>
      </w:r>
      <w:r w:rsidR="00510FF2">
        <w:rPr>
          <w:lang w:val="en-US"/>
        </w:rPr>
        <w:t>period rule</w:t>
      </w:r>
      <w:r>
        <w:rPr>
          <w:lang w:val="en-US"/>
        </w:rPr>
        <w:t>s</w:t>
      </w:r>
      <w:r w:rsidR="00510FF2">
        <w:rPr>
          <w:lang w:val="en-US"/>
        </w:rPr>
        <w:t xml:space="preserve"> and </w:t>
      </w:r>
      <w:r>
        <w:rPr>
          <w:lang w:val="en-US"/>
        </w:rPr>
        <w:t xml:space="preserve">the </w:t>
      </w:r>
      <w:r w:rsidR="00510FF2">
        <w:rPr>
          <w:lang w:val="en-US"/>
        </w:rPr>
        <w:t>next</w:t>
      </w:r>
      <w:r>
        <w:rPr>
          <w:lang w:val="en-US"/>
        </w:rPr>
        <w:t xml:space="preserve"> possible</w:t>
      </w:r>
      <w:r w:rsidR="00510FF2">
        <w:rPr>
          <w:lang w:val="en-US"/>
        </w:rPr>
        <w:t xml:space="preserve"> action</w:t>
      </w:r>
      <w:r>
        <w:rPr>
          <w:lang w:val="en-US"/>
        </w:rPr>
        <w:t>s will apply</w:t>
      </w:r>
      <w:r w:rsidR="00353D1A">
        <w:rPr>
          <w:lang w:val="en-US"/>
        </w:rPr>
        <w:t>. Changes are highlighted in red</w:t>
      </w:r>
      <w:r>
        <w:rPr>
          <w:lang w:val="en-US"/>
        </w:rPr>
        <w:t xml:space="preserve"> in the table below and will also be published in the Service Matrix after the changes have gone live.</w:t>
      </w:r>
    </w:p>
    <w:p w14:paraId="555C221D" w14:textId="77777777" w:rsidR="00510FF2" w:rsidRDefault="00510FF2" w:rsidP="00144782">
      <w:pPr>
        <w:rPr>
          <w:lang w:val="en-US"/>
        </w:rPr>
      </w:pPr>
    </w:p>
    <w:tbl>
      <w:tblPr>
        <w:tblStyle w:val="Colttop"/>
        <w:tblW w:w="0" w:type="auto"/>
        <w:tblBorders>
          <w:top w:val="single" w:sz="4" w:space="0" w:color="BD6DFF" w:themeColor="accent4" w:themeTint="66"/>
          <w:left w:val="single" w:sz="4" w:space="0" w:color="BD6DFF" w:themeColor="accent4" w:themeTint="66"/>
          <w:bottom w:val="single" w:sz="4" w:space="0" w:color="BD6DFF" w:themeColor="accent4" w:themeTint="66"/>
          <w:right w:val="single" w:sz="4" w:space="0" w:color="BD6DFF" w:themeColor="accent4" w:themeTint="66"/>
          <w:insideH w:val="single" w:sz="4" w:space="0" w:color="BD6DFF" w:themeColor="accent4" w:themeTint="66"/>
          <w:insideV w:val="single" w:sz="4" w:space="0" w:color="BD6DFF" w:themeColor="accent4" w:themeTint="66"/>
        </w:tblBorders>
        <w:tblLook w:val="04A0" w:firstRow="1" w:lastRow="0" w:firstColumn="1" w:lastColumn="0" w:noHBand="0" w:noVBand="1"/>
      </w:tblPr>
      <w:tblGrid>
        <w:gridCol w:w="1502"/>
        <w:gridCol w:w="2070"/>
        <w:gridCol w:w="1350"/>
        <w:gridCol w:w="2250"/>
        <w:gridCol w:w="1890"/>
      </w:tblGrid>
      <w:tr w:rsidR="0061797A" w:rsidRPr="0061797A" w14:paraId="7B861F0D" w14:textId="01AA4EDB" w:rsidTr="00510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3B006C" w:themeFill="accent4" w:themeFillShade="BF"/>
            <w:vAlign w:val="center"/>
          </w:tcPr>
          <w:p w14:paraId="2A6CA45F" w14:textId="48D69BE5" w:rsidR="0061797A" w:rsidRPr="00510FF2" w:rsidRDefault="0061797A" w:rsidP="00510FF2">
            <w:pPr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510FF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Countries</w:t>
            </w: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3B006C" w:themeFill="accent4" w:themeFillShade="BF"/>
            <w:vAlign w:val="center"/>
          </w:tcPr>
          <w:p w14:paraId="24EA8C88" w14:textId="2FA89934" w:rsidR="0061797A" w:rsidRPr="00510FF2" w:rsidRDefault="0061797A" w:rsidP="00510FF2">
            <w:pPr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510FF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Next status after port-in deactivation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3B006C" w:themeFill="accent4" w:themeFillShade="BF"/>
            <w:vAlign w:val="center"/>
          </w:tcPr>
          <w:p w14:paraId="0CA1AF04" w14:textId="0984AE78" w:rsidR="00510FF2" w:rsidRPr="00510FF2" w:rsidRDefault="0061797A" w:rsidP="00510FF2">
            <w:pPr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510FF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Quarantine period</w:t>
            </w:r>
          </w:p>
          <w:p w14:paraId="551E03D6" w14:textId="611F663A" w:rsidR="0061797A" w:rsidRPr="00510FF2" w:rsidRDefault="0061797A" w:rsidP="00510FF2">
            <w:pPr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510FF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(in days)</w:t>
            </w:r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3B006C" w:themeFill="accent4" w:themeFillShade="BF"/>
            <w:vAlign w:val="center"/>
          </w:tcPr>
          <w:p w14:paraId="401AF7D5" w14:textId="14342C54" w:rsidR="0061797A" w:rsidRPr="00510FF2" w:rsidRDefault="0061797A" w:rsidP="00510FF2">
            <w:pPr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510FF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Next action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3B006C" w:themeFill="accent4" w:themeFillShade="BF"/>
            <w:vAlign w:val="center"/>
          </w:tcPr>
          <w:p w14:paraId="7D9FD7EC" w14:textId="004D25D7" w:rsidR="0061797A" w:rsidRPr="00510FF2" w:rsidRDefault="0061797A" w:rsidP="00510FF2">
            <w:pPr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510FF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Status after quarantine period expires</w:t>
            </w:r>
          </w:p>
        </w:tc>
      </w:tr>
      <w:tr w:rsidR="0061797A" w14:paraId="2C32E158" w14:textId="782B6F4E" w:rsidTr="00510FF2">
        <w:tc>
          <w:tcPr>
            <w:tcW w:w="1502" w:type="dxa"/>
            <w:vAlign w:val="center"/>
          </w:tcPr>
          <w:p w14:paraId="63622EA8" w14:textId="1623A713" w:rsidR="0061797A" w:rsidRDefault="0061797A" w:rsidP="00510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AT, BE, DK, GB, IE, IT</w:t>
            </w:r>
          </w:p>
        </w:tc>
        <w:tc>
          <w:tcPr>
            <w:tcW w:w="2070" w:type="dxa"/>
            <w:vAlign w:val="center"/>
          </w:tcPr>
          <w:p w14:paraId="48A4C377" w14:textId="791B4227" w:rsidR="0061797A" w:rsidRDefault="0061797A" w:rsidP="00510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Returned</w:t>
            </w:r>
          </w:p>
        </w:tc>
        <w:tc>
          <w:tcPr>
            <w:tcW w:w="1350" w:type="dxa"/>
            <w:vAlign w:val="center"/>
          </w:tcPr>
          <w:p w14:paraId="73EB7D4D" w14:textId="25C5CB8E" w:rsidR="0061797A" w:rsidRDefault="0061797A" w:rsidP="00510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50" w:type="dxa"/>
            <w:vAlign w:val="center"/>
          </w:tcPr>
          <w:p w14:paraId="24E1843E" w14:textId="301EC3F4" w:rsidR="0061797A" w:rsidRDefault="0061797A" w:rsidP="00510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90" w:type="dxa"/>
            <w:vAlign w:val="center"/>
          </w:tcPr>
          <w:p w14:paraId="355A0CFB" w14:textId="60DCA490" w:rsidR="0061797A" w:rsidRDefault="0061797A" w:rsidP="00510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1797A" w14:paraId="7FD85E25" w14:textId="5AB0C695" w:rsidTr="00510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2" w:type="dxa"/>
            <w:shd w:val="clear" w:color="auto" w:fill="DEB6FF" w:themeFill="accent4" w:themeFillTint="33"/>
            <w:vAlign w:val="center"/>
          </w:tcPr>
          <w:p w14:paraId="666CE68F" w14:textId="71E2D7A7" w:rsidR="0061797A" w:rsidRDefault="0061797A" w:rsidP="00510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</w:t>
            </w:r>
          </w:p>
        </w:tc>
        <w:tc>
          <w:tcPr>
            <w:tcW w:w="2070" w:type="dxa"/>
            <w:shd w:val="clear" w:color="auto" w:fill="DEB6FF" w:themeFill="accent4" w:themeFillTint="33"/>
            <w:vAlign w:val="center"/>
          </w:tcPr>
          <w:p w14:paraId="7AD5F6E7" w14:textId="68222F2E" w:rsidR="0061797A" w:rsidRDefault="00A6393D" w:rsidP="00510FF2">
            <w:pPr>
              <w:jc w:val="center"/>
              <w:rPr>
                <w:lang w:val="en-US"/>
              </w:rPr>
            </w:pPr>
            <w:r w:rsidRPr="00A6393D">
              <w:rPr>
                <w:color w:val="EF476F" w:themeColor="accent6"/>
                <w:lang w:val="en-US"/>
              </w:rPr>
              <w:t>Port Out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7D6DFEE4" w14:textId="45E5420D" w:rsidR="0061797A" w:rsidRDefault="007F380A" w:rsidP="00510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50" w:type="dxa"/>
            <w:shd w:val="clear" w:color="auto" w:fill="DEB6FF" w:themeFill="accent4" w:themeFillTint="33"/>
            <w:vAlign w:val="center"/>
          </w:tcPr>
          <w:p w14:paraId="29E30664" w14:textId="6A22EA5F" w:rsidR="0061797A" w:rsidRDefault="00510FF2" w:rsidP="00510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90" w:type="dxa"/>
            <w:shd w:val="clear" w:color="auto" w:fill="DEB6FF" w:themeFill="accent4" w:themeFillTint="33"/>
            <w:vAlign w:val="center"/>
          </w:tcPr>
          <w:p w14:paraId="4ABF3452" w14:textId="53A6239C" w:rsidR="0061797A" w:rsidRDefault="007F380A" w:rsidP="00510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Record stays for 65 days in Port-Out status/inventory</w:t>
            </w:r>
          </w:p>
        </w:tc>
      </w:tr>
      <w:tr w:rsidR="0061797A" w14:paraId="43A807E5" w14:textId="244700BD" w:rsidTr="00510FF2">
        <w:tc>
          <w:tcPr>
            <w:tcW w:w="1502" w:type="dxa"/>
            <w:vAlign w:val="center"/>
          </w:tcPr>
          <w:p w14:paraId="36FBB5E0" w14:textId="294A5FD4" w:rsidR="0061797A" w:rsidRDefault="0061797A" w:rsidP="00510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</w:t>
            </w:r>
          </w:p>
        </w:tc>
        <w:tc>
          <w:tcPr>
            <w:tcW w:w="2070" w:type="dxa"/>
            <w:vAlign w:val="center"/>
          </w:tcPr>
          <w:p w14:paraId="717D2219" w14:textId="4BAFEE26" w:rsidR="0061797A" w:rsidRPr="00A6393D" w:rsidRDefault="0061797A" w:rsidP="00510FF2">
            <w:pPr>
              <w:jc w:val="center"/>
              <w:rPr>
                <w:color w:val="EF476F" w:themeColor="accent6"/>
                <w:lang w:val="en-US"/>
              </w:rPr>
            </w:pPr>
            <w:r w:rsidRPr="00A6393D">
              <w:rPr>
                <w:color w:val="EF476F" w:themeColor="accent6"/>
                <w:lang w:val="en-US"/>
              </w:rPr>
              <w:t>Port-in quarantined</w:t>
            </w:r>
          </w:p>
        </w:tc>
        <w:tc>
          <w:tcPr>
            <w:tcW w:w="1350" w:type="dxa"/>
            <w:vAlign w:val="center"/>
          </w:tcPr>
          <w:p w14:paraId="6891FD1C" w14:textId="6FB2842B" w:rsidR="0061797A" w:rsidRPr="00A6393D" w:rsidRDefault="0061797A" w:rsidP="00510FF2">
            <w:pPr>
              <w:jc w:val="center"/>
              <w:rPr>
                <w:color w:val="EF476F" w:themeColor="accent6"/>
                <w:lang w:val="en-US"/>
              </w:rPr>
            </w:pPr>
            <w:r w:rsidRPr="00A6393D">
              <w:rPr>
                <w:color w:val="EF476F" w:themeColor="accent6"/>
                <w:lang w:val="en-US"/>
              </w:rPr>
              <w:t>40</w:t>
            </w:r>
          </w:p>
        </w:tc>
        <w:tc>
          <w:tcPr>
            <w:tcW w:w="2250" w:type="dxa"/>
            <w:vAlign w:val="center"/>
          </w:tcPr>
          <w:p w14:paraId="0D1AC8E2" w14:textId="3E1233C9" w:rsidR="0061797A" w:rsidRDefault="00510FF2" w:rsidP="00510FF2">
            <w:pPr>
              <w:jc w:val="center"/>
              <w:rPr>
                <w:lang w:val="en-US"/>
              </w:rPr>
            </w:pPr>
            <w:r w:rsidRPr="00EA351C">
              <w:rPr>
                <w:color w:val="EF476F" w:themeColor="accent6"/>
                <w:lang w:val="en-US"/>
              </w:rPr>
              <w:t>Port-in reactivation</w:t>
            </w:r>
          </w:p>
        </w:tc>
        <w:tc>
          <w:tcPr>
            <w:tcW w:w="1890" w:type="dxa"/>
            <w:vAlign w:val="center"/>
          </w:tcPr>
          <w:p w14:paraId="52F4090F" w14:textId="5126B1CD" w:rsidR="0061797A" w:rsidRDefault="0061797A" w:rsidP="00510FF2">
            <w:pPr>
              <w:jc w:val="center"/>
              <w:rPr>
                <w:lang w:val="en-US"/>
              </w:rPr>
            </w:pPr>
            <w:r w:rsidRPr="0061797A">
              <w:rPr>
                <w:color w:val="EF476F" w:themeColor="accent6"/>
                <w:lang w:val="en-US"/>
              </w:rPr>
              <w:t>Returned</w:t>
            </w:r>
          </w:p>
        </w:tc>
      </w:tr>
      <w:tr w:rsidR="00510FF2" w14:paraId="3DCE7C5F" w14:textId="770C5957" w:rsidTr="00510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2" w:type="dxa"/>
            <w:shd w:val="clear" w:color="auto" w:fill="DEB6FF" w:themeFill="accent4" w:themeFillTint="33"/>
            <w:vAlign w:val="center"/>
          </w:tcPr>
          <w:p w14:paraId="70BFA472" w14:textId="77D4D1DD" w:rsidR="00510FF2" w:rsidRDefault="00510FF2" w:rsidP="00510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NL</w:t>
            </w:r>
          </w:p>
        </w:tc>
        <w:tc>
          <w:tcPr>
            <w:tcW w:w="2070" w:type="dxa"/>
            <w:shd w:val="clear" w:color="auto" w:fill="DEB6FF" w:themeFill="accent4" w:themeFillTint="33"/>
            <w:vAlign w:val="center"/>
          </w:tcPr>
          <w:p w14:paraId="03148D1C" w14:textId="724B712A" w:rsidR="00510FF2" w:rsidRDefault="00510FF2" w:rsidP="00510FF2">
            <w:pPr>
              <w:jc w:val="center"/>
              <w:rPr>
                <w:lang w:val="en-US"/>
              </w:rPr>
            </w:pPr>
            <w:r>
              <w:rPr>
                <w:rStyle w:val="normaltextrun"/>
                <w:rFonts w:cs="Arial"/>
                <w:color w:val="000000"/>
                <w:szCs w:val="20"/>
                <w:bdr w:val="none" w:sz="0" w:space="0" w:color="auto" w:frame="1"/>
              </w:rPr>
              <w:t>Port-in quarantined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46762564" w14:textId="0C25219E" w:rsidR="00510FF2" w:rsidRDefault="00510FF2" w:rsidP="00510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250" w:type="dxa"/>
            <w:shd w:val="clear" w:color="auto" w:fill="DEB6FF" w:themeFill="accent4" w:themeFillTint="33"/>
            <w:vAlign w:val="center"/>
          </w:tcPr>
          <w:p w14:paraId="3D854C57" w14:textId="19AF2562" w:rsidR="00510FF2" w:rsidRDefault="00510FF2" w:rsidP="00510FF2">
            <w:pPr>
              <w:jc w:val="center"/>
              <w:rPr>
                <w:lang w:val="en-US"/>
              </w:rPr>
            </w:pPr>
            <w:r w:rsidRPr="002268CC">
              <w:rPr>
                <w:lang w:val="en-US"/>
              </w:rPr>
              <w:t>Port-in reactivation</w:t>
            </w:r>
          </w:p>
        </w:tc>
        <w:tc>
          <w:tcPr>
            <w:tcW w:w="1890" w:type="dxa"/>
            <w:shd w:val="clear" w:color="auto" w:fill="DEB6FF" w:themeFill="accent4" w:themeFillTint="33"/>
            <w:vAlign w:val="center"/>
          </w:tcPr>
          <w:p w14:paraId="2FCC5717" w14:textId="16E6954A" w:rsidR="00510FF2" w:rsidRDefault="00510FF2" w:rsidP="00510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Returned</w:t>
            </w:r>
          </w:p>
        </w:tc>
      </w:tr>
      <w:tr w:rsidR="00510FF2" w14:paraId="603B8C22" w14:textId="4D35EA31" w:rsidTr="00510FF2">
        <w:tc>
          <w:tcPr>
            <w:tcW w:w="1502" w:type="dxa"/>
            <w:vAlign w:val="center"/>
          </w:tcPr>
          <w:p w14:paraId="2043A52C" w14:textId="4D30CDCF" w:rsidR="00510FF2" w:rsidRDefault="00510FF2" w:rsidP="00510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PT</w:t>
            </w:r>
          </w:p>
        </w:tc>
        <w:tc>
          <w:tcPr>
            <w:tcW w:w="2070" w:type="dxa"/>
            <w:vAlign w:val="center"/>
          </w:tcPr>
          <w:p w14:paraId="5E245FAD" w14:textId="114BA90D" w:rsidR="00510FF2" w:rsidRPr="0061797A" w:rsidRDefault="00510FF2" w:rsidP="00510FF2">
            <w:pPr>
              <w:jc w:val="center"/>
              <w:rPr>
                <w:color w:val="EF476F" w:themeColor="accent6"/>
                <w:lang w:val="en-US"/>
              </w:rPr>
            </w:pPr>
            <w:r w:rsidRPr="0061797A">
              <w:rPr>
                <w:rStyle w:val="normaltextrun"/>
                <w:rFonts w:cs="Arial"/>
                <w:color w:val="EF476F" w:themeColor="accent6"/>
                <w:szCs w:val="20"/>
                <w:bdr w:val="none" w:sz="0" w:space="0" w:color="auto" w:frame="1"/>
              </w:rPr>
              <w:t>Port-in quarantined</w:t>
            </w:r>
          </w:p>
        </w:tc>
        <w:tc>
          <w:tcPr>
            <w:tcW w:w="1350" w:type="dxa"/>
            <w:vAlign w:val="center"/>
          </w:tcPr>
          <w:p w14:paraId="34774FC2" w14:textId="4F3E3A5C" w:rsidR="00510FF2" w:rsidRPr="0061797A" w:rsidRDefault="00510FF2" w:rsidP="00510FF2">
            <w:pPr>
              <w:jc w:val="center"/>
              <w:rPr>
                <w:color w:val="EF476F" w:themeColor="accent6"/>
                <w:lang w:val="en-US"/>
              </w:rPr>
            </w:pPr>
            <w:r w:rsidRPr="0061797A">
              <w:rPr>
                <w:color w:val="EF476F" w:themeColor="accent6"/>
                <w:lang w:val="en-US"/>
              </w:rPr>
              <w:t>90</w:t>
            </w:r>
          </w:p>
        </w:tc>
        <w:tc>
          <w:tcPr>
            <w:tcW w:w="2250" w:type="dxa"/>
            <w:vAlign w:val="center"/>
          </w:tcPr>
          <w:p w14:paraId="2FB24CDD" w14:textId="6F39D280" w:rsidR="00510FF2" w:rsidRPr="00EA351C" w:rsidRDefault="00510FF2" w:rsidP="00510FF2">
            <w:pPr>
              <w:jc w:val="center"/>
              <w:rPr>
                <w:color w:val="EF476F" w:themeColor="accent6"/>
                <w:lang w:val="en-US"/>
              </w:rPr>
            </w:pPr>
            <w:r w:rsidRPr="00EA351C">
              <w:rPr>
                <w:color w:val="EF476F" w:themeColor="accent6"/>
                <w:lang w:val="en-US"/>
              </w:rPr>
              <w:t>Port-in reactivation</w:t>
            </w:r>
          </w:p>
        </w:tc>
        <w:tc>
          <w:tcPr>
            <w:tcW w:w="1890" w:type="dxa"/>
            <w:vAlign w:val="center"/>
          </w:tcPr>
          <w:p w14:paraId="286635AA" w14:textId="547FF364" w:rsidR="00510FF2" w:rsidRPr="0061797A" w:rsidRDefault="00510FF2" w:rsidP="00510FF2">
            <w:pPr>
              <w:jc w:val="center"/>
              <w:rPr>
                <w:color w:val="EF476F" w:themeColor="accent6"/>
                <w:lang w:val="en-US"/>
              </w:rPr>
            </w:pPr>
            <w:r w:rsidRPr="0061797A">
              <w:rPr>
                <w:color w:val="EF476F" w:themeColor="accent6"/>
                <w:lang w:val="en-US"/>
              </w:rPr>
              <w:t>Returned</w:t>
            </w:r>
          </w:p>
        </w:tc>
      </w:tr>
      <w:tr w:rsidR="00510FF2" w14:paraId="37E3985D" w14:textId="742588C1" w:rsidTr="00510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2" w:type="dxa"/>
            <w:shd w:val="clear" w:color="auto" w:fill="DEB6FF" w:themeFill="accent4" w:themeFillTint="33"/>
            <w:vAlign w:val="center"/>
          </w:tcPr>
          <w:p w14:paraId="677BD934" w14:textId="144C1797" w:rsidR="00510FF2" w:rsidRDefault="00510FF2" w:rsidP="00510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</w:t>
            </w:r>
          </w:p>
        </w:tc>
        <w:tc>
          <w:tcPr>
            <w:tcW w:w="2070" w:type="dxa"/>
            <w:shd w:val="clear" w:color="auto" w:fill="DEB6FF" w:themeFill="accent4" w:themeFillTint="33"/>
            <w:vAlign w:val="center"/>
          </w:tcPr>
          <w:p w14:paraId="15488C77" w14:textId="4225D629" w:rsidR="00510FF2" w:rsidRPr="0061797A" w:rsidRDefault="00510FF2" w:rsidP="00510FF2">
            <w:pPr>
              <w:jc w:val="center"/>
              <w:rPr>
                <w:color w:val="EF476F" w:themeColor="accent6"/>
                <w:lang w:val="en-US"/>
              </w:rPr>
            </w:pPr>
            <w:r w:rsidRPr="0061797A">
              <w:rPr>
                <w:rStyle w:val="normaltextrun"/>
                <w:rFonts w:cs="Arial"/>
                <w:color w:val="EF476F" w:themeColor="accent6"/>
                <w:szCs w:val="20"/>
                <w:bdr w:val="none" w:sz="0" w:space="0" w:color="auto" w:frame="1"/>
              </w:rPr>
              <w:t>Port-in quarantined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1B416C47" w14:textId="20554BCC" w:rsidR="00510FF2" w:rsidRPr="0061797A" w:rsidRDefault="00510FF2" w:rsidP="00510FF2">
            <w:pPr>
              <w:jc w:val="center"/>
              <w:rPr>
                <w:color w:val="EF476F" w:themeColor="accent6"/>
                <w:lang w:val="en-US"/>
              </w:rPr>
            </w:pPr>
            <w:r w:rsidRPr="0061797A">
              <w:rPr>
                <w:color w:val="EF476F" w:themeColor="accent6"/>
                <w:lang w:val="en-US"/>
              </w:rPr>
              <w:t>90</w:t>
            </w:r>
          </w:p>
        </w:tc>
        <w:tc>
          <w:tcPr>
            <w:tcW w:w="2250" w:type="dxa"/>
            <w:shd w:val="clear" w:color="auto" w:fill="DEB6FF" w:themeFill="accent4" w:themeFillTint="33"/>
            <w:vAlign w:val="center"/>
          </w:tcPr>
          <w:p w14:paraId="175AD98A" w14:textId="184D77A8" w:rsidR="00510FF2" w:rsidRPr="00EA351C" w:rsidRDefault="00510FF2" w:rsidP="00510FF2">
            <w:pPr>
              <w:jc w:val="center"/>
              <w:rPr>
                <w:color w:val="EF476F" w:themeColor="accent6"/>
                <w:lang w:val="en-US"/>
              </w:rPr>
            </w:pPr>
            <w:r w:rsidRPr="00EA351C">
              <w:rPr>
                <w:color w:val="EF476F" w:themeColor="accent6"/>
                <w:lang w:val="en-US"/>
              </w:rPr>
              <w:t>Port-in reactivation</w:t>
            </w:r>
          </w:p>
        </w:tc>
        <w:tc>
          <w:tcPr>
            <w:tcW w:w="1890" w:type="dxa"/>
            <w:shd w:val="clear" w:color="auto" w:fill="DEB6FF" w:themeFill="accent4" w:themeFillTint="33"/>
            <w:vAlign w:val="center"/>
          </w:tcPr>
          <w:p w14:paraId="5EFC57B0" w14:textId="4BA92F13" w:rsidR="00510FF2" w:rsidRPr="0061797A" w:rsidRDefault="00510FF2" w:rsidP="00510FF2">
            <w:pPr>
              <w:jc w:val="center"/>
              <w:rPr>
                <w:color w:val="EF476F" w:themeColor="accent6"/>
                <w:lang w:val="en-US"/>
              </w:rPr>
            </w:pPr>
            <w:r w:rsidRPr="0061797A">
              <w:rPr>
                <w:color w:val="EF476F" w:themeColor="accent6"/>
                <w:lang w:val="en-US"/>
              </w:rPr>
              <w:t>Free</w:t>
            </w:r>
          </w:p>
        </w:tc>
      </w:tr>
      <w:tr w:rsidR="00510FF2" w14:paraId="17398220" w14:textId="11BCD348" w:rsidTr="00510FF2">
        <w:tc>
          <w:tcPr>
            <w:tcW w:w="1502" w:type="dxa"/>
            <w:vAlign w:val="center"/>
          </w:tcPr>
          <w:p w14:paraId="315906F2" w14:textId="7CAFAF92" w:rsidR="00510FF2" w:rsidRDefault="00510FF2" w:rsidP="00510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2070" w:type="dxa"/>
            <w:vAlign w:val="center"/>
          </w:tcPr>
          <w:p w14:paraId="3F6C3F9D" w14:textId="4095AEF2" w:rsidR="00510FF2" w:rsidRPr="0061797A" w:rsidRDefault="00510FF2" w:rsidP="00510FF2">
            <w:pPr>
              <w:jc w:val="center"/>
              <w:rPr>
                <w:color w:val="EF476F" w:themeColor="accent6"/>
                <w:lang w:val="en-US"/>
              </w:rPr>
            </w:pPr>
            <w:r w:rsidRPr="0061797A">
              <w:rPr>
                <w:rStyle w:val="normaltextrun"/>
                <w:rFonts w:cs="Arial"/>
                <w:color w:val="EF476F" w:themeColor="accent6"/>
                <w:szCs w:val="20"/>
                <w:bdr w:val="none" w:sz="0" w:space="0" w:color="auto" w:frame="1"/>
              </w:rPr>
              <w:t>Port-in quarantined</w:t>
            </w:r>
          </w:p>
        </w:tc>
        <w:tc>
          <w:tcPr>
            <w:tcW w:w="1350" w:type="dxa"/>
            <w:vAlign w:val="center"/>
          </w:tcPr>
          <w:p w14:paraId="36D151BD" w14:textId="37FA0E72" w:rsidR="00510FF2" w:rsidRPr="0061797A" w:rsidRDefault="00510FF2" w:rsidP="00510FF2">
            <w:pPr>
              <w:jc w:val="center"/>
              <w:rPr>
                <w:color w:val="EF476F" w:themeColor="accent6"/>
                <w:lang w:val="en-US"/>
              </w:rPr>
            </w:pPr>
            <w:r w:rsidRPr="0061797A">
              <w:rPr>
                <w:color w:val="EF476F" w:themeColor="accent6"/>
                <w:lang w:val="en-US"/>
              </w:rPr>
              <w:t>20</w:t>
            </w:r>
          </w:p>
        </w:tc>
        <w:tc>
          <w:tcPr>
            <w:tcW w:w="2250" w:type="dxa"/>
            <w:vAlign w:val="center"/>
          </w:tcPr>
          <w:p w14:paraId="3D52EC64" w14:textId="6EF424F2" w:rsidR="00510FF2" w:rsidRPr="00EA351C" w:rsidRDefault="00510FF2" w:rsidP="00510FF2">
            <w:pPr>
              <w:jc w:val="center"/>
              <w:rPr>
                <w:color w:val="EF476F" w:themeColor="accent6"/>
                <w:lang w:val="en-US"/>
              </w:rPr>
            </w:pPr>
            <w:r w:rsidRPr="00EA351C">
              <w:rPr>
                <w:color w:val="EF476F" w:themeColor="accent6"/>
                <w:lang w:val="en-US"/>
              </w:rPr>
              <w:t>Port-in reactivation</w:t>
            </w:r>
          </w:p>
        </w:tc>
        <w:tc>
          <w:tcPr>
            <w:tcW w:w="1890" w:type="dxa"/>
            <w:vAlign w:val="center"/>
          </w:tcPr>
          <w:p w14:paraId="14022A8E" w14:textId="347FCD63" w:rsidR="00510FF2" w:rsidRPr="0061797A" w:rsidRDefault="00510FF2" w:rsidP="00510FF2">
            <w:pPr>
              <w:jc w:val="center"/>
              <w:rPr>
                <w:color w:val="EF476F" w:themeColor="accent6"/>
                <w:lang w:val="en-US"/>
              </w:rPr>
            </w:pPr>
            <w:r w:rsidRPr="0061797A">
              <w:rPr>
                <w:color w:val="EF476F" w:themeColor="accent6"/>
                <w:lang w:val="en-US"/>
              </w:rPr>
              <w:t>Returned</w:t>
            </w:r>
          </w:p>
        </w:tc>
      </w:tr>
      <w:tr w:rsidR="00510FF2" w14:paraId="1F16A513" w14:textId="3227424F" w:rsidTr="00510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2" w:type="dxa"/>
            <w:shd w:val="clear" w:color="auto" w:fill="DEB6FF" w:themeFill="accent4" w:themeFillTint="33"/>
            <w:vAlign w:val="center"/>
          </w:tcPr>
          <w:p w14:paraId="1441BD86" w14:textId="4E15ADE1" w:rsidR="00510FF2" w:rsidRDefault="00510FF2" w:rsidP="00510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  <w:tc>
          <w:tcPr>
            <w:tcW w:w="2070" w:type="dxa"/>
            <w:shd w:val="clear" w:color="auto" w:fill="DEB6FF" w:themeFill="accent4" w:themeFillTint="33"/>
            <w:vAlign w:val="center"/>
          </w:tcPr>
          <w:p w14:paraId="3910847D" w14:textId="496561C4" w:rsidR="00510FF2" w:rsidRPr="0061797A" w:rsidRDefault="00510FF2" w:rsidP="00510FF2">
            <w:pPr>
              <w:jc w:val="center"/>
              <w:rPr>
                <w:color w:val="EF476F" w:themeColor="accent6"/>
                <w:lang w:val="en-US"/>
              </w:rPr>
            </w:pPr>
            <w:r w:rsidRPr="0061797A">
              <w:rPr>
                <w:rStyle w:val="normaltextrun"/>
                <w:rFonts w:cs="Arial"/>
                <w:color w:val="EF476F" w:themeColor="accent6"/>
                <w:szCs w:val="20"/>
                <w:bdr w:val="none" w:sz="0" w:space="0" w:color="auto" w:frame="1"/>
              </w:rPr>
              <w:t>Port-in quarantined</w:t>
            </w:r>
          </w:p>
        </w:tc>
        <w:tc>
          <w:tcPr>
            <w:tcW w:w="1350" w:type="dxa"/>
            <w:shd w:val="clear" w:color="auto" w:fill="DEB6FF" w:themeFill="accent4" w:themeFillTint="33"/>
            <w:vAlign w:val="center"/>
          </w:tcPr>
          <w:p w14:paraId="49B77BD6" w14:textId="59301FA7" w:rsidR="00510FF2" w:rsidRPr="0061797A" w:rsidRDefault="00510FF2" w:rsidP="00510FF2">
            <w:pPr>
              <w:jc w:val="center"/>
              <w:rPr>
                <w:color w:val="EF476F" w:themeColor="accent6"/>
                <w:lang w:val="en-US"/>
              </w:rPr>
            </w:pPr>
            <w:r w:rsidRPr="0061797A">
              <w:rPr>
                <w:color w:val="EF476F" w:themeColor="accent6"/>
                <w:lang w:val="en-US"/>
              </w:rPr>
              <w:t>30</w:t>
            </w:r>
          </w:p>
        </w:tc>
        <w:tc>
          <w:tcPr>
            <w:tcW w:w="2250" w:type="dxa"/>
            <w:shd w:val="clear" w:color="auto" w:fill="DEB6FF" w:themeFill="accent4" w:themeFillTint="33"/>
            <w:vAlign w:val="center"/>
          </w:tcPr>
          <w:p w14:paraId="09034505" w14:textId="273A4B9B" w:rsidR="00510FF2" w:rsidRDefault="00510FF2" w:rsidP="00510FF2">
            <w:pPr>
              <w:jc w:val="center"/>
              <w:rPr>
                <w:lang w:val="en-US"/>
              </w:rPr>
            </w:pPr>
            <w:r w:rsidRPr="00EA351C">
              <w:rPr>
                <w:color w:val="EF476F" w:themeColor="accent6"/>
                <w:lang w:val="en-US"/>
              </w:rPr>
              <w:t>Port-in reactivation</w:t>
            </w:r>
          </w:p>
        </w:tc>
        <w:tc>
          <w:tcPr>
            <w:tcW w:w="1890" w:type="dxa"/>
            <w:shd w:val="clear" w:color="auto" w:fill="DEB6FF" w:themeFill="accent4" w:themeFillTint="33"/>
            <w:vAlign w:val="center"/>
          </w:tcPr>
          <w:p w14:paraId="2727976F" w14:textId="25F70E82" w:rsidR="00510FF2" w:rsidRPr="0061797A" w:rsidRDefault="00510FF2" w:rsidP="00510FF2">
            <w:pPr>
              <w:jc w:val="center"/>
              <w:rPr>
                <w:color w:val="EF476F" w:themeColor="accent6"/>
                <w:lang w:val="en-US"/>
              </w:rPr>
            </w:pPr>
            <w:r w:rsidRPr="0061797A">
              <w:rPr>
                <w:color w:val="EF476F" w:themeColor="accent6"/>
                <w:lang w:val="en-US"/>
              </w:rPr>
              <w:t>Returned</w:t>
            </w:r>
          </w:p>
        </w:tc>
      </w:tr>
    </w:tbl>
    <w:p w14:paraId="58031FCF" w14:textId="0AA0944E" w:rsidR="00075B6E" w:rsidRPr="00144782" w:rsidRDefault="00075B6E" w:rsidP="00144782">
      <w:pPr>
        <w:rPr>
          <w:lang w:val="en-US"/>
        </w:rPr>
      </w:pPr>
      <w:r w:rsidRPr="00144782">
        <w:rPr>
          <w:lang w:val="en-US"/>
        </w:rPr>
        <w:br w:type="page"/>
      </w:r>
    </w:p>
    <w:p w14:paraId="0A655DA8" w14:textId="77777777" w:rsidR="00075B6E" w:rsidRPr="00144782" w:rsidRDefault="00075B6E" w:rsidP="00075B6E">
      <w:pPr>
        <w:rPr>
          <w:lang w:val="en-US"/>
        </w:rPr>
      </w:pPr>
    </w:p>
    <w:p w14:paraId="7FC805F5" w14:textId="1F502200" w:rsidR="00C1625D" w:rsidRPr="00CB580C" w:rsidRDefault="009F511F" w:rsidP="00D86652">
      <w:pPr>
        <w:pStyle w:val="Heading1"/>
        <w:spacing w:line="240" w:lineRule="auto"/>
        <w:rPr>
          <w:lang w:val="fr-FR"/>
        </w:rPr>
      </w:pPr>
      <w:r w:rsidRPr="00CB580C">
        <w:rPr>
          <w:lang w:val="fr-FR"/>
        </w:rPr>
        <w:t xml:space="preserve">REST API </w:t>
      </w:r>
      <w:r w:rsidR="007F380A">
        <w:rPr>
          <w:lang w:val="fr-FR"/>
        </w:rPr>
        <w:t>JWT Authentication</w:t>
      </w:r>
    </w:p>
    <w:p w14:paraId="0DB8E4CB" w14:textId="7E1D0429" w:rsidR="005A6B35" w:rsidRDefault="005963D0" w:rsidP="00D86652">
      <w:pPr>
        <w:rPr>
          <w:lang w:val="en-US"/>
        </w:rPr>
      </w:pPr>
      <w:r>
        <w:rPr>
          <w:lang w:val="en-US"/>
        </w:rPr>
        <w:t xml:space="preserve">In this release we will </w:t>
      </w:r>
      <w:r w:rsidR="00C4583B">
        <w:rPr>
          <w:lang w:val="en-US"/>
        </w:rPr>
        <w:t xml:space="preserve">introduce </w:t>
      </w:r>
      <w:r>
        <w:rPr>
          <w:lang w:val="en-US"/>
        </w:rPr>
        <w:t>support</w:t>
      </w:r>
      <w:r w:rsidR="00C4583B">
        <w:rPr>
          <w:lang w:val="en-US"/>
        </w:rPr>
        <w:t xml:space="preserve"> for</w:t>
      </w:r>
      <w:r>
        <w:rPr>
          <w:lang w:val="en-US"/>
        </w:rPr>
        <w:t xml:space="preserve"> </w:t>
      </w:r>
      <w:r w:rsidR="003C1F9A">
        <w:rPr>
          <w:lang w:val="en-US"/>
        </w:rPr>
        <w:t>JWT authentication</w:t>
      </w:r>
      <w:r w:rsidR="00C4583B">
        <w:rPr>
          <w:lang w:val="en-US"/>
        </w:rPr>
        <w:t xml:space="preserve"> for the REST APIs in the table below.  Please note we will continue to support </w:t>
      </w:r>
      <w:r w:rsidR="003C1F9A">
        <w:rPr>
          <w:lang w:val="en-US"/>
        </w:rPr>
        <w:t xml:space="preserve">Oauth2.0 </w:t>
      </w:r>
      <w:r w:rsidR="00C4583B">
        <w:rPr>
          <w:lang w:val="en-US"/>
        </w:rPr>
        <w:t>authentication in parallel.</w:t>
      </w:r>
    </w:p>
    <w:p w14:paraId="5BC9B6B1" w14:textId="77777777" w:rsidR="003C1F9A" w:rsidRPr="005A6B35" w:rsidRDefault="003C1F9A" w:rsidP="00D86652">
      <w:pPr>
        <w:rPr>
          <w:i/>
          <w:iCs/>
          <w:lang w:val="en-US"/>
        </w:rPr>
      </w:pPr>
    </w:p>
    <w:tbl>
      <w:tblPr>
        <w:tblStyle w:val="GridTable4-Accent4"/>
        <w:tblpPr w:leftFromText="180" w:rightFromText="180" w:vertAnchor="text" w:tblpX="625" w:tblpY="1"/>
        <w:tblOverlap w:val="never"/>
        <w:tblW w:w="8275" w:type="dxa"/>
        <w:tblLayout w:type="fixed"/>
        <w:tblLook w:val="0420" w:firstRow="1" w:lastRow="0" w:firstColumn="0" w:lastColumn="0" w:noHBand="0" w:noVBand="1"/>
      </w:tblPr>
      <w:tblGrid>
        <w:gridCol w:w="4045"/>
        <w:gridCol w:w="4230"/>
      </w:tblGrid>
      <w:tr w:rsidR="00EA351C" w:rsidRPr="00B43911" w14:paraId="59AA0D4A" w14:textId="1813C774" w:rsidTr="00970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4045" w:type="dxa"/>
            <w:vAlign w:val="center"/>
            <w:hideMark/>
          </w:tcPr>
          <w:p w14:paraId="0DC85679" w14:textId="2096BBDE" w:rsidR="00EA351C" w:rsidRPr="00B43911" w:rsidRDefault="00EA351C" w:rsidP="00B43911">
            <w:pPr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  <w:t xml:space="preserve">Number Hosting </w:t>
            </w:r>
            <w:r w:rsidRPr="00B43911"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  <w:t>REST API</w:t>
            </w:r>
            <w:r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  <w:t>s</w:t>
            </w:r>
          </w:p>
        </w:tc>
        <w:tc>
          <w:tcPr>
            <w:tcW w:w="4230" w:type="dxa"/>
          </w:tcPr>
          <w:p w14:paraId="49D75AC6" w14:textId="1862C7C6" w:rsidR="00EA351C" w:rsidRDefault="00EA351C" w:rsidP="00B43911">
            <w:pPr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  <w:t>CDR REST APIs</w:t>
            </w:r>
          </w:p>
        </w:tc>
      </w:tr>
      <w:tr w:rsidR="00EA351C" w:rsidRPr="00B43911" w14:paraId="65877A56" w14:textId="65C22928" w:rsidTr="0097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4045" w:type="dxa"/>
          </w:tcPr>
          <w:p w14:paraId="074E650E" w14:textId="29F40253" w:rsidR="00EA351C" w:rsidRPr="00B43911" w:rsidRDefault="00EA351C" w:rsidP="00EA351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5FF">
              <w:rPr>
                <w:rFonts w:cstheme="minorHAnsi"/>
                <w:b/>
                <w:bCs/>
                <w:sz w:val="18"/>
                <w:szCs w:val="18"/>
                <w:lang w:val="en-US"/>
              </w:rPr>
              <w:t>GET</w:t>
            </w:r>
            <w:r w:rsidRPr="00FB45FF">
              <w:rPr>
                <w:rFonts w:cstheme="minorHAnsi"/>
                <w:sz w:val="18"/>
                <w:szCs w:val="18"/>
                <w:lang w:val="en-US"/>
              </w:rPr>
              <w:t>/numberCollection</w:t>
            </w:r>
          </w:p>
        </w:tc>
        <w:tc>
          <w:tcPr>
            <w:tcW w:w="4230" w:type="dxa"/>
          </w:tcPr>
          <w:p w14:paraId="64B1CB74" w14:textId="4AE9FB35" w:rsidR="00EA351C" w:rsidRPr="00FB45FF" w:rsidRDefault="00EA351C" w:rsidP="00EA351C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EA351C">
              <w:rPr>
                <w:rFonts w:cstheme="minorHAnsi"/>
                <w:b/>
                <w:bCs/>
                <w:sz w:val="18"/>
                <w:szCs w:val="18"/>
              </w:rPr>
              <w:t>GET</w:t>
            </w:r>
            <w:r w:rsidRPr="00FB45FF">
              <w:rPr>
                <w:rFonts w:cstheme="minorHAnsi"/>
                <w:sz w:val="18"/>
                <w:szCs w:val="18"/>
              </w:rPr>
              <w:t>/unratedCallDetailRecord</w:t>
            </w:r>
          </w:p>
        </w:tc>
      </w:tr>
      <w:tr w:rsidR="00EA351C" w:rsidRPr="00B43911" w14:paraId="51008CFF" w14:textId="13D71EE0" w:rsidTr="009707AA">
        <w:trPr>
          <w:trHeight w:val="246"/>
        </w:trPr>
        <w:tc>
          <w:tcPr>
            <w:tcW w:w="4045" w:type="dxa"/>
            <w:vAlign w:val="center"/>
          </w:tcPr>
          <w:p w14:paraId="695DDD52" w14:textId="1109F4A2" w:rsidR="00EA351C" w:rsidRPr="00B43911" w:rsidRDefault="00EA351C" w:rsidP="00EA351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5FF">
              <w:rPr>
                <w:rFonts w:cstheme="minorHAnsi"/>
                <w:b/>
                <w:bCs/>
                <w:sz w:val="18"/>
                <w:szCs w:val="18"/>
                <w:lang w:val="en-US"/>
              </w:rPr>
              <w:t>POST</w:t>
            </w:r>
            <w:r w:rsidRPr="00FB45FF">
              <w:rPr>
                <w:rFonts w:cstheme="minorHAnsi"/>
                <w:sz w:val="18"/>
                <w:szCs w:val="18"/>
                <w:lang w:val="en-US"/>
              </w:rPr>
              <w:t>/numberCollectionReservation</w:t>
            </w:r>
          </w:p>
        </w:tc>
        <w:tc>
          <w:tcPr>
            <w:tcW w:w="4230" w:type="dxa"/>
          </w:tcPr>
          <w:p w14:paraId="3EC822E9" w14:textId="0F35B18E" w:rsidR="00EA351C" w:rsidRPr="00FB45FF" w:rsidRDefault="00EA351C" w:rsidP="00EA351C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EA351C">
              <w:rPr>
                <w:rFonts w:cstheme="minorHAnsi"/>
                <w:b/>
                <w:bCs/>
                <w:sz w:val="18"/>
                <w:szCs w:val="18"/>
              </w:rPr>
              <w:t>POST</w:t>
            </w:r>
            <w:r w:rsidRPr="00FB45FF">
              <w:rPr>
                <w:rFonts w:cstheme="minorHAnsi"/>
                <w:sz w:val="18"/>
                <w:szCs w:val="18"/>
              </w:rPr>
              <w:t>/generateConsolidatedUnratedCallDetailRecord</w:t>
            </w:r>
          </w:p>
        </w:tc>
      </w:tr>
      <w:tr w:rsidR="00EA351C" w:rsidRPr="00B43911" w14:paraId="07E97BFF" w14:textId="1EF00C94" w:rsidTr="0097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4045" w:type="dxa"/>
            <w:vAlign w:val="center"/>
          </w:tcPr>
          <w:p w14:paraId="463204A8" w14:textId="45FAB375" w:rsidR="00EA351C" w:rsidRPr="00B43911" w:rsidRDefault="00EA351C" w:rsidP="00EA351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5FF">
              <w:rPr>
                <w:rFonts w:cstheme="minorHAnsi"/>
                <w:b/>
                <w:bCs/>
                <w:sz w:val="18"/>
                <w:szCs w:val="18"/>
                <w:lang w:val="en-US"/>
              </w:rPr>
              <w:t>POST</w:t>
            </w:r>
            <w:r w:rsidRPr="00FB45FF">
              <w:rPr>
                <w:rFonts w:cstheme="minorHAnsi"/>
                <w:sz w:val="18"/>
                <w:szCs w:val="18"/>
                <w:lang w:val="en-US"/>
              </w:rPr>
              <w:t>/numberCollectionCancellation</w:t>
            </w:r>
          </w:p>
        </w:tc>
        <w:tc>
          <w:tcPr>
            <w:tcW w:w="4230" w:type="dxa"/>
          </w:tcPr>
          <w:p w14:paraId="7A1F4BA0" w14:textId="4472B983" w:rsidR="00EA351C" w:rsidRPr="00FB45FF" w:rsidRDefault="00EA351C" w:rsidP="00EA351C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FB45FF">
              <w:rPr>
                <w:rFonts w:cstheme="minorHAnsi"/>
                <w:sz w:val="18"/>
                <w:szCs w:val="18"/>
              </w:rPr>
              <w:t>​</w:t>
            </w:r>
            <w:r w:rsidRPr="00EA351C">
              <w:rPr>
                <w:rFonts w:cstheme="minorHAnsi"/>
                <w:b/>
                <w:bCs/>
                <w:sz w:val="18"/>
                <w:szCs w:val="18"/>
              </w:rPr>
              <w:t>GET</w:t>
            </w:r>
            <w:r w:rsidRPr="00FB45FF">
              <w:rPr>
                <w:rFonts w:cstheme="minorHAnsi"/>
                <w:sz w:val="18"/>
                <w:szCs w:val="18"/>
              </w:rPr>
              <w:t>/consolidatedUnratedCallDetailRecord</w:t>
            </w:r>
          </w:p>
        </w:tc>
      </w:tr>
      <w:tr w:rsidR="00EA351C" w:rsidRPr="00B43911" w14:paraId="77DBFD1C" w14:textId="1DA52C5E" w:rsidTr="009707AA">
        <w:trPr>
          <w:trHeight w:val="246"/>
        </w:trPr>
        <w:tc>
          <w:tcPr>
            <w:tcW w:w="4045" w:type="dxa"/>
            <w:vAlign w:val="center"/>
          </w:tcPr>
          <w:p w14:paraId="35C23E47" w14:textId="3DC369B8" w:rsidR="00EA351C" w:rsidRPr="00B43911" w:rsidRDefault="00EA351C" w:rsidP="00EA351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5FF">
              <w:rPr>
                <w:rFonts w:cstheme="minorHAnsi"/>
                <w:b/>
                <w:bCs/>
                <w:sz w:val="18"/>
                <w:szCs w:val="18"/>
                <w:lang w:val="en-US"/>
              </w:rPr>
              <w:t>POST</w:t>
            </w:r>
            <w:r w:rsidRPr="00FB45FF">
              <w:rPr>
                <w:rFonts w:cstheme="minorHAnsi"/>
                <w:sz w:val="18"/>
                <w:szCs w:val="18"/>
                <w:lang w:val="en-US"/>
              </w:rPr>
              <w:t>/numberCollectionActivation</w:t>
            </w:r>
          </w:p>
        </w:tc>
        <w:tc>
          <w:tcPr>
            <w:tcW w:w="4230" w:type="dxa"/>
          </w:tcPr>
          <w:p w14:paraId="64A3D3B5" w14:textId="52234D4C" w:rsidR="00EA351C" w:rsidRPr="00FB45FF" w:rsidRDefault="00EA351C" w:rsidP="00EA351C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EA351C">
              <w:rPr>
                <w:rFonts w:cstheme="minorHAnsi"/>
                <w:b/>
                <w:bCs/>
                <w:sz w:val="18"/>
                <w:szCs w:val="18"/>
              </w:rPr>
              <w:t>GET</w:t>
            </w:r>
            <w:r w:rsidRPr="00FB45FF">
              <w:rPr>
                <w:rFonts w:cstheme="minorHAnsi"/>
                <w:sz w:val="18"/>
                <w:szCs w:val="18"/>
              </w:rPr>
              <w:t>/ratedCallDetailRecord</w:t>
            </w:r>
          </w:p>
        </w:tc>
      </w:tr>
      <w:tr w:rsidR="00EA351C" w:rsidRPr="00B43911" w14:paraId="06CB6118" w14:textId="7BFDC47B" w:rsidTr="0097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4045" w:type="dxa"/>
          </w:tcPr>
          <w:p w14:paraId="293F91DC" w14:textId="0CBB85FF" w:rsidR="00EA351C" w:rsidRPr="00B43911" w:rsidRDefault="00EA351C" w:rsidP="00EA351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5FF">
              <w:rPr>
                <w:rFonts w:cstheme="minorHAnsi"/>
                <w:b/>
                <w:bCs/>
                <w:sz w:val="18"/>
                <w:szCs w:val="18"/>
                <w:lang w:val="en-US"/>
              </w:rPr>
              <w:t>GET</w:t>
            </w:r>
            <w:r w:rsidRPr="00FB45FF">
              <w:rPr>
                <w:rFonts w:cstheme="minorHAnsi"/>
                <w:sz w:val="18"/>
                <w:szCs w:val="18"/>
                <w:lang w:val="en-US"/>
              </w:rPr>
              <w:t>/order/{orderId}</w:t>
            </w:r>
          </w:p>
        </w:tc>
        <w:tc>
          <w:tcPr>
            <w:tcW w:w="4230" w:type="dxa"/>
          </w:tcPr>
          <w:p w14:paraId="51679AF1" w14:textId="2E965C6B" w:rsidR="00EA351C" w:rsidRPr="00FB45FF" w:rsidRDefault="00EA351C" w:rsidP="00EA351C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FB45FF">
              <w:rPr>
                <w:rFonts w:cstheme="minorHAnsi"/>
                <w:sz w:val="18"/>
                <w:szCs w:val="18"/>
              </w:rPr>
              <w:t>​</w:t>
            </w:r>
            <w:r w:rsidRPr="00EA351C">
              <w:rPr>
                <w:rFonts w:cstheme="minorHAnsi"/>
                <w:b/>
                <w:bCs/>
                <w:sz w:val="18"/>
                <w:szCs w:val="18"/>
              </w:rPr>
              <w:t>GET</w:t>
            </w:r>
            <w:r w:rsidRPr="00FB45FF">
              <w:rPr>
                <w:rFonts w:cstheme="minorHAnsi"/>
                <w:sz w:val="18"/>
                <w:szCs w:val="18"/>
              </w:rPr>
              <w:t>/nonUsageReport</w:t>
            </w:r>
          </w:p>
        </w:tc>
      </w:tr>
      <w:tr w:rsidR="00EA351C" w:rsidRPr="00B43911" w14:paraId="24F9D6FE" w14:textId="0EAFFDEC" w:rsidTr="009707AA">
        <w:trPr>
          <w:trHeight w:val="246"/>
        </w:trPr>
        <w:tc>
          <w:tcPr>
            <w:tcW w:w="4045" w:type="dxa"/>
            <w:hideMark/>
          </w:tcPr>
          <w:p w14:paraId="6BCCA599" w14:textId="01BD5970" w:rsidR="00EA351C" w:rsidRPr="00B43911" w:rsidRDefault="00EA351C" w:rsidP="00EA351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C1F9A">
              <w:rPr>
                <w:rFonts w:cstheme="minorHAnsi"/>
                <w:b/>
                <w:bCs/>
                <w:sz w:val="18"/>
                <w:szCs w:val="18"/>
                <w:lang w:val="en-US"/>
              </w:rPr>
              <w:t>POST</w:t>
            </w:r>
            <w:r w:rsidRPr="00B43911">
              <w:rPr>
                <w:rFonts w:cstheme="minorHAnsi"/>
                <w:sz w:val="18"/>
                <w:szCs w:val="18"/>
                <w:lang w:val="en-US"/>
              </w:rPr>
              <w:t>/numberCollectionPortIn</w:t>
            </w:r>
          </w:p>
        </w:tc>
        <w:tc>
          <w:tcPr>
            <w:tcW w:w="4230" w:type="dxa"/>
          </w:tcPr>
          <w:p w14:paraId="10AD0F91" w14:textId="77777777" w:rsidR="00EA351C" w:rsidRPr="003C1F9A" w:rsidRDefault="00EA351C" w:rsidP="00EA351C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EA351C" w:rsidRPr="00B43911" w14:paraId="2FDDB8EF" w14:textId="5A3AF66E" w:rsidTr="0097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4045" w:type="dxa"/>
            <w:hideMark/>
          </w:tcPr>
          <w:p w14:paraId="1FB9A438" w14:textId="66EF8EA4" w:rsidR="00EA351C" w:rsidRPr="00B43911" w:rsidRDefault="00EA351C" w:rsidP="00EA351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C1F9A">
              <w:rPr>
                <w:rFonts w:cstheme="minorHAnsi"/>
                <w:b/>
                <w:bCs/>
                <w:sz w:val="18"/>
                <w:szCs w:val="18"/>
                <w:lang w:val="en-US"/>
              </w:rPr>
              <w:t>POST</w:t>
            </w:r>
            <w:r w:rsidRPr="00B43911">
              <w:rPr>
                <w:rFonts w:cstheme="minorHAnsi"/>
                <w:sz w:val="18"/>
                <w:szCs w:val="18"/>
                <w:lang w:val="en-US"/>
              </w:rPr>
              <w:t>/numberCollectionPortOrderUpdate</w:t>
            </w:r>
          </w:p>
        </w:tc>
        <w:tc>
          <w:tcPr>
            <w:tcW w:w="4230" w:type="dxa"/>
          </w:tcPr>
          <w:p w14:paraId="230CC21D" w14:textId="77777777" w:rsidR="00EA351C" w:rsidRPr="003C1F9A" w:rsidRDefault="00EA351C" w:rsidP="00EA351C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EA351C" w:rsidRPr="00B43911" w14:paraId="408AE19F" w14:textId="3B7F9872" w:rsidTr="009707AA">
        <w:trPr>
          <w:trHeight w:val="246"/>
        </w:trPr>
        <w:tc>
          <w:tcPr>
            <w:tcW w:w="4045" w:type="dxa"/>
            <w:hideMark/>
          </w:tcPr>
          <w:p w14:paraId="680C7254" w14:textId="2B1CB481" w:rsidR="00EA351C" w:rsidRPr="00B43911" w:rsidRDefault="00EA351C" w:rsidP="00EA351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C1F9A">
              <w:rPr>
                <w:rFonts w:cstheme="minorHAnsi"/>
                <w:b/>
                <w:bCs/>
                <w:sz w:val="18"/>
                <w:szCs w:val="18"/>
                <w:lang w:val="en-US"/>
              </w:rPr>
              <w:t>POST</w:t>
            </w:r>
            <w:r w:rsidRPr="00B43911">
              <w:rPr>
                <w:rFonts w:cstheme="minorHAnsi"/>
                <w:sz w:val="18"/>
                <w:szCs w:val="18"/>
                <w:lang w:val="en-US"/>
              </w:rPr>
              <w:t>/numberCollectionUpdateCustomerDetails</w:t>
            </w:r>
          </w:p>
        </w:tc>
        <w:tc>
          <w:tcPr>
            <w:tcW w:w="4230" w:type="dxa"/>
          </w:tcPr>
          <w:p w14:paraId="290812F3" w14:textId="77777777" w:rsidR="00EA351C" w:rsidRPr="003C1F9A" w:rsidRDefault="00EA351C" w:rsidP="00EA351C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7DBB7360" w14:textId="3373019E" w:rsidR="00E75235" w:rsidRDefault="00E75235" w:rsidP="00D86652"/>
    <w:p w14:paraId="5E11C969" w14:textId="6B68B821" w:rsidR="00573022" w:rsidRDefault="00573022" w:rsidP="00D86652"/>
    <w:p w14:paraId="2B6CB4EA" w14:textId="04653048" w:rsidR="00573022" w:rsidRDefault="00573022" w:rsidP="00D86652"/>
    <w:p w14:paraId="38F9E145" w14:textId="6543E6DC" w:rsidR="00573022" w:rsidRDefault="00573022" w:rsidP="00D86652"/>
    <w:p w14:paraId="78FC7B1B" w14:textId="090BBE50" w:rsidR="00573022" w:rsidRDefault="00573022" w:rsidP="00D86652"/>
    <w:p w14:paraId="2290AE26" w14:textId="2375AC4B" w:rsidR="00573022" w:rsidRDefault="00573022" w:rsidP="00D86652"/>
    <w:p w14:paraId="7A6B47E3" w14:textId="77777777" w:rsidR="00AD7E77" w:rsidRDefault="00AD7E77" w:rsidP="00D86652"/>
    <w:p w14:paraId="4F1BAB6A" w14:textId="77777777" w:rsidR="003C1F9A" w:rsidRDefault="003C1F9A" w:rsidP="00D86652">
      <w:pPr>
        <w:rPr>
          <w:lang w:val="en-US"/>
        </w:rPr>
      </w:pPr>
    </w:p>
    <w:p w14:paraId="5ABD90B9" w14:textId="77777777" w:rsidR="003C1F9A" w:rsidRDefault="003C1F9A" w:rsidP="00D86652">
      <w:pPr>
        <w:rPr>
          <w:lang w:val="en-US"/>
        </w:rPr>
      </w:pPr>
    </w:p>
    <w:p w14:paraId="21E3881A" w14:textId="77777777" w:rsidR="003C1F9A" w:rsidRDefault="003C1F9A" w:rsidP="00D86652">
      <w:pPr>
        <w:rPr>
          <w:lang w:val="en-US"/>
        </w:rPr>
      </w:pPr>
    </w:p>
    <w:p w14:paraId="408CDA0D" w14:textId="77777777" w:rsidR="009707AA" w:rsidRDefault="00D86652" w:rsidP="003C1F9A">
      <w:pPr>
        <w:rPr>
          <w:lang w:val="en-US"/>
        </w:rPr>
      </w:pPr>
      <w:r w:rsidRPr="003C1F9A">
        <w:rPr>
          <w:lang w:val="en-US"/>
        </w:rPr>
        <w:br w:type="textWrapping" w:clear="all"/>
        <w:t xml:space="preserve"> </w:t>
      </w:r>
    </w:p>
    <w:p w14:paraId="2C5E34CD" w14:textId="7553606D" w:rsidR="00701829" w:rsidRDefault="00C270D6" w:rsidP="009707AA">
      <w:pPr>
        <w:rPr>
          <w:lang w:val="en-US"/>
        </w:rPr>
      </w:pPr>
      <w:r>
        <w:rPr>
          <w:lang w:val="en-US"/>
        </w:rPr>
        <w:t xml:space="preserve">Please refer to </w:t>
      </w:r>
      <w:r w:rsidR="00C4583B">
        <w:rPr>
          <w:lang w:val="en-US"/>
        </w:rPr>
        <w:t xml:space="preserve">the </w:t>
      </w:r>
      <w:r>
        <w:rPr>
          <w:lang w:val="en-US"/>
        </w:rPr>
        <w:t>OAS specification for details</w:t>
      </w:r>
      <w:r w:rsidR="00EA351C">
        <w:rPr>
          <w:lang w:val="en-US"/>
        </w:rPr>
        <w:t>.</w:t>
      </w:r>
    </w:p>
    <w:p w14:paraId="1AA728C4" w14:textId="77777777" w:rsidR="009707AA" w:rsidRPr="00701829" w:rsidRDefault="009707AA" w:rsidP="009707AA">
      <w:pPr>
        <w:rPr>
          <w:lang w:val="en-US"/>
        </w:rPr>
      </w:pPr>
    </w:p>
    <w:p w14:paraId="04AC7837" w14:textId="1FDC7125" w:rsidR="00BC7E20" w:rsidRDefault="00BC7E20" w:rsidP="00BC7E20">
      <w:pPr>
        <w:pStyle w:val="Heading2"/>
      </w:pPr>
      <w:r>
        <w:t xml:space="preserve">How to get access to new REST APIs </w:t>
      </w:r>
      <w:r w:rsidR="007F380A">
        <w:t xml:space="preserve">(with JWT authentication) </w:t>
      </w:r>
      <w:r>
        <w:t>&amp; support</w:t>
      </w:r>
    </w:p>
    <w:p w14:paraId="678C7706" w14:textId="77777777" w:rsidR="00BC7E20" w:rsidRPr="004100C8" w:rsidRDefault="00BC7E20" w:rsidP="00BC7E20"/>
    <w:p w14:paraId="1B6A0D8B" w14:textId="3A359953" w:rsidR="00D86652" w:rsidRPr="00B81259" w:rsidRDefault="00D86652" w:rsidP="00D86652">
      <w:r w:rsidRPr="00B81259">
        <w:t>Please inform your account manager to request access to the sandbox and/or production environments for the REST APIs</w:t>
      </w:r>
      <w:r>
        <w:t>.</w:t>
      </w:r>
      <w:r w:rsidR="00C270D6">
        <w:t xml:space="preserve"> </w:t>
      </w:r>
      <w:r w:rsidR="00C4583B">
        <w:t>If you wish to use JWT authentication, then y</w:t>
      </w:r>
      <w:r w:rsidR="00C270D6">
        <w:t xml:space="preserve">ou </w:t>
      </w:r>
      <w:r w:rsidR="00C4583B">
        <w:t xml:space="preserve">will </w:t>
      </w:r>
      <w:r w:rsidR="00C270D6">
        <w:t>need to share</w:t>
      </w:r>
      <w:r w:rsidR="00C4583B">
        <w:t xml:space="preserve"> the</w:t>
      </w:r>
      <w:r w:rsidR="00C270D6">
        <w:t xml:space="preserve"> JWT public certificate (zipped) and name of </w:t>
      </w:r>
      <w:r w:rsidR="00C4583B">
        <w:t xml:space="preserve">the </w:t>
      </w:r>
      <w:r w:rsidR="00C270D6">
        <w:t>token issuer.</w:t>
      </w:r>
    </w:p>
    <w:p w14:paraId="4E9640BF" w14:textId="3547C584" w:rsidR="00D86652" w:rsidRDefault="00D86652" w:rsidP="00D86652">
      <w:r w:rsidRPr="00B81259">
        <w:t xml:space="preserve">Your </w:t>
      </w:r>
      <w:r w:rsidR="00C270D6">
        <w:t>Application ID (s) to add in</w:t>
      </w:r>
      <w:r w:rsidR="00C4583B">
        <w:t>to</w:t>
      </w:r>
      <w:r w:rsidR="00C270D6">
        <w:t xml:space="preserve"> </w:t>
      </w:r>
      <w:r w:rsidR="00C4583B">
        <w:t xml:space="preserve">the </w:t>
      </w:r>
      <w:r w:rsidR="00C270D6">
        <w:t xml:space="preserve">JWT key as </w:t>
      </w:r>
      <w:r w:rsidR="00C4583B">
        <w:t xml:space="preserve">the </w:t>
      </w:r>
      <w:r w:rsidR="00C270D6">
        <w:t>‘Audience’ value</w:t>
      </w:r>
      <w:r w:rsidRPr="00B81259">
        <w:t xml:space="preserve"> will be shared with you by Colt’s Reseller Support Voice team.</w:t>
      </w:r>
    </w:p>
    <w:p w14:paraId="753EC284" w14:textId="77777777" w:rsidR="00D86652" w:rsidRDefault="00D86652" w:rsidP="00D86652">
      <w:r>
        <w:t>Support for sandbox testing will be provided by the API Support team and is a chargeable service. Please contact your account manager for further information.</w:t>
      </w:r>
    </w:p>
    <w:p w14:paraId="5678EBA8" w14:textId="77F56126" w:rsidR="003C1F9A" w:rsidRDefault="003C1F9A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1B9CD5D5" w14:textId="77777777" w:rsidR="003C1F9A" w:rsidRPr="00A61D0B" w:rsidRDefault="003C1F9A" w:rsidP="00D86652">
      <w:pPr>
        <w:rPr>
          <w:lang w:val="en-US"/>
        </w:rPr>
      </w:pPr>
    </w:p>
    <w:p w14:paraId="46B75D93" w14:textId="79986C70" w:rsidR="007F072B" w:rsidRDefault="001F318B" w:rsidP="009F1280">
      <w:pPr>
        <w:pStyle w:val="Heading1"/>
        <w:spacing w:line="240" w:lineRule="auto"/>
      </w:pPr>
      <w:bookmarkStart w:id="0" w:name="_Ref100223218"/>
      <w:r>
        <w:t>Number</w:t>
      </w:r>
      <w:r w:rsidR="00D86652">
        <w:t>s</w:t>
      </w:r>
      <w:r>
        <w:t xml:space="preserve"> on Demand</w:t>
      </w:r>
      <w:r w:rsidR="002106FE">
        <w:t xml:space="preserve"> </w:t>
      </w:r>
      <w:r w:rsidR="00E01B8C">
        <w:t>(NOD)</w:t>
      </w:r>
      <w:r>
        <w:t xml:space="preserve"> </w:t>
      </w:r>
      <w:r w:rsidR="00E15B1B">
        <w:t xml:space="preserve">and B2B API </w:t>
      </w:r>
      <w:r>
        <w:t>improvements</w:t>
      </w:r>
      <w:bookmarkEnd w:id="0"/>
    </w:p>
    <w:p w14:paraId="03DCACE3" w14:textId="32260A9F" w:rsidR="001F318B" w:rsidRDefault="001F318B" w:rsidP="001F318B">
      <w:pPr>
        <w:spacing w:line="240" w:lineRule="auto"/>
      </w:pPr>
      <w:r>
        <w:t xml:space="preserve">Below are some improvements targeted for </w:t>
      </w:r>
      <w:r w:rsidR="003C1F9A">
        <w:t>23</w:t>
      </w:r>
      <w:r w:rsidR="003C1F9A" w:rsidRPr="003C1F9A">
        <w:rPr>
          <w:vertAlign w:val="superscript"/>
        </w:rPr>
        <w:t>rd</w:t>
      </w:r>
      <w:r w:rsidR="003C1F9A">
        <w:t xml:space="preserve"> July</w:t>
      </w:r>
      <w:r w:rsidR="00104166">
        <w:t xml:space="preserve"> 2022.</w:t>
      </w:r>
      <w:r w:rsidR="00DE0E1B">
        <w:t xml:space="preserve"> Updated XSDs and API OAS specifications are present in </w:t>
      </w:r>
      <w:r w:rsidR="000F0A0A">
        <w:t xml:space="preserve">the </w:t>
      </w:r>
      <w:r w:rsidR="00DE0E1B">
        <w:t>Appendix.</w:t>
      </w:r>
    </w:p>
    <w:p w14:paraId="3561EC9B" w14:textId="7E83190B" w:rsidR="00600E6C" w:rsidRDefault="00600E6C" w:rsidP="001F318B">
      <w:pPr>
        <w:spacing w:line="240" w:lineRule="auto"/>
      </w:pPr>
    </w:p>
    <w:tbl>
      <w:tblPr>
        <w:tblStyle w:val="GridTable4-Accent4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1170"/>
        <w:gridCol w:w="6185"/>
        <w:gridCol w:w="906"/>
      </w:tblGrid>
      <w:tr w:rsidR="00600E6C" w:rsidRPr="00235C12" w14:paraId="4DE59197" w14:textId="77777777" w:rsidTr="009B5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6ACB7302" w14:textId="77777777" w:rsidR="00600E6C" w:rsidRPr="00235C12" w:rsidRDefault="00600E6C" w:rsidP="00600E6C">
            <w:pPr>
              <w:spacing w:line="240" w:lineRule="auto"/>
              <w:contextualSpacing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235C12">
              <w:rPr>
                <w:rFonts w:cstheme="minorHAnsi"/>
                <w:color w:val="FFFFFF" w:themeColor="background1"/>
                <w:sz w:val="18"/>
                <w:szCs w:val="18"/>
              </w:rPr>
              <w:t>Functionality</w:t>
            </w:r>
          </w:p>
        </w:tc>
        <w:tc>
          <w:tcPr>
            <w:tcW w:w="1170" w:type="dxa"/>
            <w:vAlign w:val="center"/>
          </w:tcPr>
          <w:p w14:paraId="1A07F73C" w14:textId="77777777" w:rsidR="00600E6C" w:rsidRPr="00235C12" w:rsidRDefault="00600E6C" w:rsidP="00600E6C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235C12">
              <w:rPr>
                <w:rFonts w:cstheme="minorHAnsi"/>
                <w:color w:val="FFFFFF" w:themeColor="background1"/>
                <w:sz w:val="18"/>
                <w:szCs w:val="18"/>
              </w:rPr>
              <w:t>Interface</w:t>
            </w:r>
          </w:p>
        </w:tc>
        <w:tc>
          <w:tcPr>
            <w:tcW w:w="6185" w:type="dxa"/>
            <w:vAlign w:val="center"/>
          </w:tcPr>
          <w:p w14:paraId="3EA474AA" w14:textId="77777777" w:rsidR="00600E6C" w:rsidRPr="00235C12" w:rsidRDefault="00600E6C" w:rsidP="00600E6C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235C12">
              <w:rPr>
                <w:rFonts w:cstheme="minorHAnsi"/>
                <w:color w:val="FFFFFF" w:themeColor="background1"/>
                <w:sz w:val="18"/>
                <w:szCs w:val="18"/>
              </w:rPr>
              <w:t>Improvement Description</w:t>
            </w:r>
          </w:p>
        </w:tc>
        <w:tc>
          <w:tcPr>
            <w:tcW w:w="906" w:type="dxa"/>
            <w:vAlign w:val="center"/>
          </w:tcPr>
          <w:p w14:paraId="461C7C9E" w14:textId="77777777" w:rsidR="00600E6C" w:rsidRPr="00235C12" w:rsidRDefault="00600E6C" w:rsidP="00600E6C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235C12">
              <w:rPr>
                <w:rFonts w:cstheme="minorHAnsi"/>
                <w:color w:val="FFFFFF" w:themeColor="background1"/>
                <w:sz w:val="18"/>
                <w:szCs w:val="18"/>
              </w:rPr>
              <w:t>Country Scope</w:t>
            </w:r>
          </w:p>
        </w:tc>
      </w:tr>
      <w:tr w:rsidR="00600E6C" w:rsidRPr="00235C12" w14:paraId="58F8BA6D" w14:textId="77777777" w:rsidTr="009B5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7B0F1FAD" w14:textId="451785CB" w:rsidR="00600E6C" w:rsidRPr="000F0A0A" w:rsidRDefault="0073390A" w:rsidP="00600E6C">
            <w:pPr>
              <w:spacing w:line="240" w:lineRule="auto"/>
              <w:contextualSpacing/>
              <w:rPr>
                <w:rFonts w:cstheme="minorHAnsi"/>
                <w:b w:val="0"/>
                <w:sz w:val="18"/>
                <w:szCs w:val="18"/>
              </w:rPr>
            </w:pPr>
            <w:r w:rsidRPr="000F0A0A">
              <w:rPr>
                <w:rFonts w:cstheme="minorHAnsi"/>
                <w:sz w:val="18"/>
                <w:szCs w:val="18"/>
              </w:rPr>
              <w:t>Telephone Number History</w:t>
            </w:r>
          </w:p>
        </w:tc>
        <w:tc>
          <w:tcPr>
            <w:tcW w:w="1170" w:type="dxa"/>
            <w:vAlign w:val="center"/>
          </w:tcPr>
          <w:p w14:paraId="0E3F172D" w14:textId="58CA819F" w:rsidR="00600E6C" w:rsidRPr="000F0A0A" w:rsidRDefault="0073390A" w:rsidP="00600E6C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0F0A0A">
              <w:rPr>
                <w:rFonts w:cstheme="minorHAnsi"/>
                <w:bCs/>
                <w:sz w:val="18"/>
                <w:szCs w:val="18"/>
              </w:rPr>
              <w:t>NOD, SOAP API</w:t>
            </w:r>
          </w:p>
        </w:tc>
        <w:tc>
          <w:tcPr>
            <w:tcW w:w="6185" w:type="dxa"/>
            <w:vAlign w:val="center"/>
          </w:tcPr>
          <w:p w14:paraId="2568DF68" w14:textId="5BE6D58F" w:rsidR="00600E6C" w:rsidRPr="000F0A0A" w:rsidRDefault="0073390A" w:rsidP="00600E6C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0A0A">
              <w:rPr>
                <w:rFonts w:cstheme="minorHAnsi"/>
                <w:sz w:val="18"/>
                <w:szCs w:val="18"/>
              </w:rPr>
              <w:t>Currently we only support search by CLI. Search by range will be enabled in this release</w:t>
            </w:r>
          </w:p>
        </w:tc>
        <w:tc>
          <w:tcPr>
            <w:tcW w:w="906" w:type="dxa"/>
            <w:vAlign w:val="center"/>
          </w:tcPr>
          <w:p w14:paraId="434F6C40" w14:textId="63D031E8" w:rsidR="00600E6C" w:rsidRPr="000F0A0A" w:rsidRDefault="0073390A" w:rsidP="00600E6C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F0A0A">
              <w:rPr>
                <w:rFonts w:cstheme="minorHAnsi"/>
                <w:sz w:val="18"/>
                <w:szCs w:val="18"/>
              </w:rPr>
              <w:t>All</w:t>
            </w:r>
          </w:p>
        </w:tc>
      </w:tr>
      <w:tr w:rsidR="00600E6C" w:rsidRPr="0073390A" w14:paraId="2E6D9CA5" w14:textId="77777777" w:rsidTr="009B5F86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5914C602" w14:textId="14D7D6B2" w:rsidR="00600E6C" w:rsidRPr="000F0A0A" w:rsidRDefault="0073390A" w:rsidP="00600E6C">
            <w:pPr>
              <w:spacing w:line="240" w:lineRule="auto"/>
              <w:contextualSpacing/>
              <w:rPr>
                <w:rFonts w:cstheme="minorHAnsi"/>
                <w:b w:val="0"/>
                <w:sz w:val="18"/>
                <w:szCs w:val="18"/>
              </w:rPr>
            </w:pPr>
            <w:r w:rsidRPr="000F0A0A">
              <w:rPr>
                <w:rFonts w:cstheme="minorHAnsi"/>
                <w:sz w:val="18"/>
                <w:szCs w:val="18"/>
              </w:rPr>
              <w:t>Number Enquiry</w:t>
            </w:r>
          </w:p>
        </w:tc>
        <w:tc>
          <w:tcPr>
            <w:tcW w:w="1170" w:type="dxa"/>
            <w:vAlign w:val="center"/>
          </w:tcPr>
          <w:p w14:paraId="0CFD0F79" w14:textId="6BDB849B" w:rsidR="00600E6C" w:rsidRPr="000F0A0A" w:rsidRDefault="0073390A" w:rsidP="00600E6C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nl-NL"/>
              </w:rPr>
            </w:pPr>
            <w:r w:rsidRPr="000F0A0A">
              <w:rPr>
                <w:rFonts w:cstheme="minorHAnsi"/>
                <w:bCs/>
                <w:sz w:val="18"/>
                <w:szCs w:val="18"/>
                <w:lang w:val="nl-NL"/>
              </w:rPr>
              <w:t>NOD, SOAP &amp; REST API</w:t>
            </w:r>
          </w:p>
        </w:tc>
        <w:tc>
          <w:tcPr>
            <w:tcW w:w="6185" w:type="dxa"/>
            <w:vAlign w:val="center"/>
          </w:tcPr>
          <w:p w14:paraId="63475924" w14:textId="5F7B11F6" w:rsidR="0073390A" w:rsidRPr="000F0A0A" w:rsidRDefault="0073390A" w:rsidP="00600E6C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9707AA">
              <w:rPr>
                <w:rFonts w:cstheme="minorHAnsi"/>
                <w:sz w:val="18"/>
                <w:szCs w:val="18"/>
              </w:rPr>
              <w:t>‘P</w:t>
            </w:r>
            <w:r w:rsidRPr="009707AA">
              <w:rPr>
                <w:sz w:val="18"/>
                <w:szCs w:val="18"/>
              </w:rPr>
              <w:t xml:space="preserve">ort-in Reserved’ status added </w:t>
            </w:r>
            <w:r w:rsidR="000F0A0A" w:rsidRPr="009707AA">
              <w:rPr>
                <w:sz w:val="18"/>
                <w:szCs w:val="18"/>
              </w:rPr>
              <w:t xml:space="preserve">to the </w:t>
            </w:r>
            <w:r w:rsidRPr="009707AA">
              <w:rPr>
                <w:sz w:val="18"/>
                <w:szCs w:val="18"/>
              </w:rPr>
              <w:t>number enquiry search by status</w:t>
            </w:r>
          </w:p>
        </w:tc>
        <w:tc>
          <w:tcPr>
            <w:tcW w:w="906" w:type="dxa"/>
            <w:vAlign w:val="center"/>
          </w:tcPr>
          <w:p w14:paraId="43339F28" w14:textId="67CC7E2E" w:rsidR="00600E6C" w:rsidRPr="000F0A0A" w:rsidRDefault="0073390A" w:rsidP="00600E6C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0F0A0A">
              <w:rPr>
                <w:rFonts w:cstheme="minorHAnsi"/>
                <w:sz w:val="18"/>
                <w:szCs w:val="18"/>
                <w:lang w:val="en-US"/>
              </w:rPr>
              <w:t>All</w:t>
            </w:r>
          </w:p>
        </w:tc>
      </w:tr>
      <w:tr w:rsidR="00600E6C" w:rsidRPr="0073390A" w14:paraId="3F43E5BC" w14:textId="77777777" w:rsidTr="009B5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3E1F3AFC" w14:textId="08F66599" w:rsidR="00600E6C" w:rsidRPr="000F0A0A" w:rsidRDefault="0073390A" w:rsidP="00600E6C">
            <w:pPr>
              <w:spacing w:line="240" w:lineRule="auto"/>
              <w:contextualSpacing/>
              <w:rPr>
                <w:rFonts w:cstheme="minorHAnsi"/>
                <w:b w:val="0"/>
                <w:bCs w:val="0"/>
                <w:sz w:val="18"/>
                <w:szCs w:val="18"/>
                <w:lang w:val="en-US"/>
              </w:rPr>
            </w:pPr>
            <w:r w:rsidRPr="000F0A0A">
              <w:rPr>
                <w:rFonts w:cstheme="minorHAnsi"/>
                <w:sz w:val="18"/>
                <w:szCs w:val="18"/>
                <w:lang w:val="en-US"/>
              </w:rPr>
              <w:t>Automated notification / Call Back API notifications</w:t>
            </w:r>
          </w:p>
        </w:tc>
        <w:tc>
          <w:tcPr>
            <w:tcW w:w="1170" w:type="dxa"/>
            <w:vAlign w:val="center"/>
          </w:tcPr>
          <w:p w14:paraId="4F26B59B" w14:textId="4A87091E" w:rsidR="00600E6C" w:rsidRPr="000F0A0A" w:rsidRDefault="0073390A" w:rsidP="00600E6C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F0A0A">
              <w:rPr>
                <w:rFonts w:cstheme="minorHAnsi"/>
                <w:bCs/>
                <w:sz w:val="18"/>
                <w:szCs w:val="18"/>
                <w:lang w:val="en-US"/>
              </w:rPr>
              <w:t>All</w:t>
            </w:r>
          </w:p>
        </w:tc>
        <w:tc>
          <w:tcPr>
            <w:tcW w:w="6185" w:type="dxa"/>
            <w:vAlign w:val="center"/>
          </w:tcPr>
          <w:p w14:paraId="0437CC31" w14:textId="77777777" w:rsidR="0036621D" w:rsidRDefault="0036621D" w:rsidP="00600E6C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  <w:p w14:paraId="5C8B66C2" w14:textId="62D9F020" w:rsidR="00600E6C" w:rsidRPr="000F0A0A" w:rsidRDefault="000F0A0A" w:rsidP="00600E6C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Cs/>
                <w:sz w:val="18"/>
                <w:szCs w:val="18"/>
                <w:lang w:val="en-US"/>
              </w:rPr>
              <w:t>A</w:t>
            </w:r>
            <w:r w:rsidRPr="00FF0FB2">
              <w:rPr>
                <w:rFonts w:cstheme="minorHAnsi"/>
                <w:bCs/>
                <w:sz w:val="18"/>
                <w:szCs w:val="18"/>
                <w:lang w:val="en-US"/>
              </w:rPr>
              <w:t xml:space="preserve">utomated notification (email/callBack API) will </w:t>
            </w:r>
            <w:r>
              <w:rPr>
                <w:rFonts w:cstheme="minorHAnsi"/>
                <w:bCs/>
                <w:sz w:val="18"/>
                <w:szCs w:val="18"/>
                <w:lang w:val="en-US"/>
              </w:rPr>
              <w:t xml:space="preserve">now </w:t>
            </w:r>
            <w:r w:rsidRPr="00FF0FB2">
              <w:rPr>
                <w:rFonts w:cstheme="minorHAnsi"/>
                <w:bCs/>
                <w:sz w:val="18"/>
                <w:szCs w:val="18"/>
                <w:lang w:val="en-US"/>
              </w:rPr>
              <w:t>be triggered</w:t>
            </w:r>
            <w:r w:rsidR="0073390A" w:rsidRPr="000F0A0A">
              <w:rPr>
                <w:rFonts w:cstheme="minorHAnsi"/>
                <w:bCs/>
                <w:sz w:val="18"/>
                <w:szCs w:val="18"/>
                <w:lang w:val="en-US"/>
              </w:rPr>
              <w:t xml:space="preserve"> for ‘In Progress’, ‘Confirmation Awaited’, ‘Customer Feedback Awaited’ status,.</w:t>
            </w:r>
          </w:p>
          <w:p w14:paraId="291DFD4C" w14:textId="26B41578" w:rsidR="0073390A" w:rsidRDefault="0073390A" w:rsidP="00600E6C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F0A0A">
              <w:rPr>
                <w:rFonts w:cstheme="minorHAnsi"/>
                <w:bCs/>
                <w:sz w:val="18"/>
                <w:szCs w:val="18"/>
                <w:lang w:val="en-US"/>
              </w:rPr>
              <w:t xml:space="preserve">This is applicable for customers who opted for </w:t>
            </w:r>
            <w:r w:rsidR="000F0A0A">
              <w:rPr>
                <w:rFonts w:cstheme="minorHAnsi"/>
                <w:bCs/>
                <w:sz w:val="18"/>
                <w:szCs w:val="18"/>
                <w:lang w:val="en-US"/>
              </w:rPr>
              <w:t xml:space="preserve">the </w:t>
            </w:r>
            <w:r w:rsidRPr="000F0A0A">
              <w:rPr>
                <w:rFonts w:cstheme="minorHAnsi"/>
                <w:bCs/>
                <w:sz w:val="18"/>
                <w:szCs w:val="18"/>
                <w:lang w:val="en-US"/>
              </w:rPr>
              <w:t>Automated email notification</w:t>
            </w:r>
            <w:r w:rsidR="000F0A0A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0F0A0A">
              <w:rPr>
                <w:rFonts w:cstheme="minorHAnsi"/>
                <w:bCs/>
                <w:sz w:val="18"/>
                <w:szCs w:val="18"/>
                <w:lang w:val="en-US"/>
              </w:rPr>
              <w:t>or callBack API</w:t>
            </w:r>
            <w:r w:rsidR="00DE65D8" w:rsidRPr="000F0A0A">
              <w:rPr>
                <w:rFonts w:cstheme="minorHAnsi"/>
                <w:bCs/>
                <w:sz w:val="18"/>
                <w:szCs w:val="18"/>
                <w:lang w:val="en-US"/>
              </w:rPr>
              <w:t xml:space="preserve"> notification</w:t>
            </w:r>
            <w:r w:rsidR="000F0A0A">
              <w:rPr>
                <w:rFonts w:cstheme="minorHAnsi"/>
                <w:bCs/>
                <w:sz w:val="18"/>
                <w:szCs w:val="18"/>
                <w:lang w:val="en-US"/>
              </w:rPr>
              <w:t>.</w:t>
            </w:r>
          </w:p>
          <w:p w14:paraId="3B2914E5" w14:textId="77777777" w:rsidR="000F0A0A" w:rsidRDefault="000F0A0A" w:rsidP="00600E6C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  <w:p w14:paraId="130E8EE7" w14:textId="77777777" w:rsidR="000F0A0A" w:rsidRDefault="000F0A0A" w:rsidP="00600E6C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Cs/>
                <w:sz w:val="18"/>
                <w:szCs w:val="18"/>
                <w:lang w:val="en-US"/>
              </w:rPr>
              <w:t>Please note if this automated email notification or CallBack API is a feature you would like setup or if you have new email addresses to add, please contact the Reseller Support Voice team.</w:t>
            </w:r>
          </w:p>
          <w:p w14:paraId="5B802726" w14:textId="6CE11C7B" w:rsidR="0036621D" w:rsidRPr="000F0A0A" w:rsidRDefault="0036621D" w:rsidP="00600E6C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vAlign w:val="center"/>
          </w:tcPr>
          <w:p w14:paraId="5E6AB8E4" w14:textId="7F67346E" w:rsidR="00600E6C" w:rsidRPr="000F0A0A" w:rsidRDefault="0073390A" w:rsidP="00600E6C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0F0A0A">
              <w:rPr>
                <w:rFonts w:cstheme="minorHAnsi"/>
                <w:sz w:val="18"/>
                <w:szCs w:val="18"/>
                <w:lang w:val="en-US"/>
              </w:rPr>
              <w:t>All</w:t>
            </w:r>
          </w:p>
        </w:tc>
      </w:tr>
      <w:tr w:rsidR="00DE65D8" w:rsidRPr="0073390A" w14:paraId="3629FC09" w14:textId="77777777" w:rsidTr="009B5F86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19E8A0E9" w14:textId="42174C14" w:rsidR="00DE65D8" w:rsidRPr="000F0A0A" w:rsidRDefault="00DE65D8" w:rsidP="00600E6C">
            <w:pPr>
              <w:spacing w:line="240" w:lineRule="auto"/>
              <w:contextualSpacing/>
              <w:rPr>
                <w:rFonts w:cstheme="minorHAnsi"/>
                <w:b w:val="0"/>
                <w:bCs w:val="0"/>
                <w:sz w:val="18"/>
                <w:szCs w:val="18"/>
                <w:lang w:val="en-US"/>
              </w:rPr>
            </w:pPr>
            <w:r w:rsidRPr="000F0A0A">
              <w:rPr>
                <w:rFonts w:cstheme="minorHAnsi"/>
                <w:sz w:val="18"/>
                <w:szCs w:val="18"/>
                <w:lang w:val="en-US"/>
              </w:rPr>
              <w:t>My Orders and My Telephone numbers</w:t>
            </w:r>
          </w:p>
        </w:tc>
        <w:tc>
          <w:tcPr>
            <w:tcW w:w="1170" w:type="dxa"/>
            <w:vAlign w:val="center"/>
          </w:tcPr>
          <w:p w14:paraId="0C71BECC" w14:textId="59AE8718" w:rsidR="00DE65D8" w:rsidRPr="000F0A0A" w:rsidRDefault="00DE65D8" w:rsidP="00600E6C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F0A0A">
              <w:rPr>
                <w:rFonts w:cstheme="minorHAnsi"/>
                <w:bCs/>
                <w:sz w:val="18"/>
                <w:szCs w:val="18"/>
                <w:lang w:val="en-US"/>
              </w:rPr>
              <w:t>NOD</w:t>
            </w:r>
          </w:p>
        </w:tc>
        <w:tc>
          <w:tcPr>
            <w:tcW w:w="6185" w:type="dxa"/>
            <w:vAlign w:val="center"/>
          </w:tcPr>
          <w:p w14:paraId="23DA8233" w14:textId="77777777" w:rsidR="0036621D" w:rsidRDefault="0036621D" w:rsidP="00600E6C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  <w:p w14:paraId="4EF079EE" w14:textId="505D4D1B" w:rsidR="0036621D" w:rsidRDefault="000F0A0A" w:rsidP="00600E6C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Cs/>
                <w:sz w:val="18"/>
                <w:szCs w:val="18"/>
                <w:lang w:val="en-US"/>
              </w:rPr>
              <w:t>In</w:t>
            </w:r>
            <w:r w:rsidR="00DE65D8" w:rsidRPr="000F0A0A">
              <w:rPr>
                <w:rFonts w:cstheme="minorHAnsi"/>
                <w:bCs/>
                <w:sz w:val="18"/>
                <w:szCs w:val="18"/>
                <w:lang w:val="en-US"/>
              </w:rPr>
              <w:t xml:space="preserve"> ‘My Orders’ and ‘My Telephone Numbers’ default place</w:t>
            </w:r>
            <w:r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r w:rsidR="00DE65D8" w:rsidRPr="000F0A0A">
              <w:rPr>
                <w:rFonts w:cstheme="minorHAnsi"/>
                <w:bCs/>
                <w:sz w:val="18"/>
                <w:szCs w:val="18"/>
                <w:lang w:val="en-US"/>
              </w:rPr>
              <w:t>cards</w:t>
            </w:r>
            <w:r w:rsidR="007F380A" w:rsidRPr="000F0A0A">
              <w:rPr>
                <w:rFonts w:cstheme="minorHAnsi"/>
                <w:bCs/>
                <w:sz w:val="18"/>
                <w:szCs w:val="18"/>
                <w:lang w:val="en-US"/>
              </w:rPr>
              <w:t xml:space="preserve"> (max 5)</w:t>
            </w:r>
            <w:r w:rsidR="00DE65D8" w:rsidRPr="000F0A0A">
              <w:rPr>
                <w:rFonts w:cstheme="minorHAnsi"/>
                <w:bCs/>
                <w:sz w:val="18"/>
                <w:szCs w:val="18"/>
                <w:lang w:val="en-US"/>
              </w:rPr>
              <w:t xml:space="preserve"> will displayed </w:t>
            </w:r>
            <w:r w:rsidR="0036621D">
              <w:rPr>
                <w:rFonts w:cstheme="minorHAnsi"/>
                <w:bCs/>
                <w:sz w:val="18"/>
                <w:szCs w:val="18"/>
                <w:lang w:val="en-US"/>
              </w:rPr>
              <w:t>at the top</w:t>
            </w:r>
            <w:r w:rsidR="00DE65D8" w:rsidRPr="000F0A0A">
              <w:rPr>
                <w:rFonts w:cstheme="minorHAnsi"/>
                <w:bCs/>
                <w:sz w:val="18"/>
                <w:szCs w:val="18"/>
                <w:lang w:val="en-US"/>
              </w:rPr>
              <w:t xml:space="preserve"> to give </w:t>
            </w:r>
            <w:r w:rsidR="0036621D">
              <w:rPr>
                <w:rFonts w:cstheme="minorHAnsi"/>
                <w:bCs/>
                <w:sz w:val="18"/>
                <w:szCs w:val="18"/>
                <w:lang w:val="en-US"/>
              </w:rPr>
              <w:t>you a</w:t>
            </w:r>
            <w:r w:rsidR="00DE65D8" w:rsidRPr="000F0A0A">
              <w:rPr>
                <w:rFonts w:cstheme="minorHAnsi"/>
                <w:bCs/>
                <w:sz w:val="18"/>
                <w:szCs w:val="18"/>
                <w:lang w:val="en-US"/>
              </w:rPr>
              <w:t xml:space="preserve"> summary of order</w:t>
            </w:r>
            <w:r w:rsidR="0036621D">
              <w:rPr>
                <w:rFonts w:cstheme="minorHAnsi"/>
                <w:bCs/>
                <w:sz w:val="18"/>
                <w:szCs w:val="18"/>
                <w:lang w:val="en-US"/>
              </w:rPr>
              <w:t>s</w:t>
            </w:r>
            <w:r w:rsidR="00DE65D8" w:rsidRPr="000F0A0A">
              <w:rPr>
                <w:rFonts w:cstheme="minorHAnsi"/>
                <w:bCs/>
                <w:sz w:val="18"/>
                <w:szCs w:val="18"/>
                <w:lang w:val="en-US"/>
              </w:rPr>
              <w:t xml:space="preserve">/telephone numbers for your service profile. </w:t>
            </w:r>
          </w:p>
          <w:p w14:paraId="7B2C485D" w14:textId="77777777" w:rsidR="0036621D" w:rsidRDefault="0036621D" w:rsidP="00600E6C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  <w:p w14:paraId="27037179" w14:textId="5F8F816A" w:rsidR="00DE65D8" w:rsidRDefault="00DE65D8" w:rsidP="00600E6C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F0A0A">
              <w:rPr>
                <w:rFonts w:cstheme="minorHAnsi"/>
                <w:bCs/>
                <w:sz w:val="18"/>
                <w:szCs w:val="18"/>
                <w:lang w:val="en-US"/>
              </w:rPr>
              <w:t xml:space="preserve">These place cards can be customized and can be used as filters to </w:t>
            </w:r>
            <w:r w:rsidR="0036621D">
              <w:rPr>
                <w:rFonts w:cstheme="minorHAnsi"/>
                <w:bCs/>
                <w:sz w:val="18"/>
                <w:szCs w:val="18"/>
                <w:lang w:val="en-US"/>
              </w:rPr>
              <w:t>view the results</w:t>
            </w:r>
            <w:r w:rsidRPr="000F0A0A">
              <w:rPr>
                <w:rFonts w:cstheme="minorHAnsi"/>
                <w:bCs/>
                <w:sz w:val="18"/>
                <w:szCs w:val="18"/>
                <w:lang w:val="en-US"/>
              </w:rPr>
              <w:t xml:space="preserve"> in the grid.</w:t>
            </w:r>
          </w:p>
          <w:p w14:paraId="02B15BC6" w14:textId="308CDCE8" w:rsidR="0036621D" w:rsidRPr="000F0A0A" w:rsidRDefault="0036621D" w:rsidP="00600E6C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vAlign w:val="center"/>
          </w:tcPr>
          <w:p w14:paraId="691A6F3A" w14:textId="04FD8BD6" w:rsidR="00DE65D8" w:rsidRPr="000F0A0A" w:rsidRDefault="00DE65D8" w:rsidP="00600E6C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0F0A0A">
              <w:rPr>
                <w:rFonts w:cstheme="minorHAnsi"/>
                <w:sz w:val="18"/>
                <w:szCs w:val="18"/>
                <w:lang w:val="en-US"/>
              </w:rPr>
              <w:t>All</w:t>
            </w:r>
          </w:p>
        </w:tc>
      </w:tr>
      <w:tr w:rsidR="00DE65D8" w:rsidRPr="0073390A" w14:paraId="37282754" w14:textId="77777777" w:rsidTr="009B5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6C314C65" w14:textId="7FDEDAF9" w:rsidR="00DE65D8" w:rsidRPr="000F0A0A" w:rsidRDefault="007F380A" w:rsidP="00600E6C">
            <w:pPr>
              <w:spacing w:line="240" w:lineRule="auto"/>
              <w:contextualSpacing/>
              <w:rPr>
                <w:rFonts w:cstheme="minorHAnsi"/>
                <w:b w:val="0"/>
                <w:bCs w:val="0"/>
                <w:sz w:val="18"/>
                <w:szCs w:val="18"/>
                <w:lang w:val="en-US"/>
              </w:rPr>
            </w:pPr>
            <w:r w:rsidRPr="000F0A0A">
              <w:rPr>
                <w:rFonts w:cstheme="minorHAnsi"/>
                <w:sz w:val="18"/>
                <w:szCs w:val="18"/>
                <w:lang w:val="en-US"/>
              </w:rPr>
              <w:t>View Reseller Data</w:t>
            </w:r>
          </w:p>
        </w:tc>
        <w:tc>
          <w:tcPr>
            <w:tcW w:w="1170" w:type="dxa"/>
            <w:vAlign w:val="center"/>
          </w:tcPr>
          <w:p w14:paraId="3A4CC0EB" w14:textId="3BFDB76B" w:rsidR="00DE65D8" w:rsidRPr="000F0A0A" w:rsidRDefault="007F380A" w:rsidP="00600E6C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F0A0A">
              <w:rPr>
                <w:rFonts w:cstheme="minorHAnsi"/>
                <w:bCs/>
                <w:sz w:val="18"/>
                <w:szCs w:val="18"/>
                <w:lang w:val="en-US"/>
              </w:rPr>
              <w:t>COL</w:t>
            </w:r>
          </w:p>
        </w:tc>
        <w:tc>
          <w:tcPr>
            <w:tcW w:w="6185" w:type="dxa"/>
            <w:vAlign w:val="center"/>
          </w:tcPr>
          <w:p w14:paraId="70CB16D6" w14:textId="77777777" w:rsidR="0036621D" w:rsidRDefault="0036621D" w:rsidP="00600E6C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  <w:p w14:paraId="1469816C" w14:textId="0AD6FE71" w:rsidR="00EA351C" w:rsidRDefault="00EA351C" w:rsidP="00600E6C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0F0A0A">
              <w:rPr>
                <w:rFonts w:cstheme="minorHAnsi"/>
                <w:bCs/>
                <w:sz w:val="18"/>
                <w:szCs w:val="18"/>
                <w:lang w:val="en-US"/>
              </w:rPr>
              <w:t xml:space="preserve">Existing Cocom Web Manager functionality ‘View Reseller Data’ will also be available in Colt Online </w:t>
            </w:r>
            <w:r w:rsidRPr="009707AA">
              <w:rPr>
                <w:rFonts w:cstheme="minorHAnsi"/>
                <w:bCs/>
                <w:sz w:val="18"/>
                <w:szCs w:val="18"/>
                <w:lang w:val="en-US"/>
              </w:rPr>
              <w:t xml:space="preserve">under </w:t>
            </w:r>
            <w:r w:rsidR="0036621D" w:rsidRPr="009707AA">
              <w:rPr>
                <w:rFonts w:cstheme="minorHAnsi"/>
                <w:bCs/>
                <w:sz w:val="18"/>
                <w:szCs w:val="18"/>
                <w:lang w:val="en-US"/>
              </w:rPr>
              <w:t>Services</w:t>
            </w:r>
            <w:r w:rsidR="009707AA" w:rsidRPr="009707AA">
              <w:rPr>
                <w:rFonts w:cstheme="minorHAnsi"/>
                <w:bCs/>
                <w:sz w:val="18"/>
                <w:szCs w:val="18"/>
                <w:lang w:val="en-US"/>
              </w:rPr>
              <w:t xml:space="preserve"> tab</w:t>
            </w:r>
            <w:r w:rsidR="009707AA">
              <w:rPr>
                <w:rFonts w:cstheme="minorHAnsi"/>
                <w:bCs/>
                <w:sz w:val="18"/>
                <w:szCs w:val="18"/>
                <w:lang w:val="en-US"/>
              </w:rPr>
              <w:t>.</w:t>
            </w:r>
          </w:p>
          <w:p w14:paraId="2D91C586" w14:textId="3A381424" w:rsidR="0036621D" w:rsidRPr="000F0A0A" w:rsidRDefault="0036621D" w:rsidP="00600E6C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vAlign w:val="center"/>
          </w:tcPr>
          <w:p w14:paraId="4C536A77" w14:textId="685A2D4E" w:rsidR="00DE65D8" w:rsidRPr="000F0A0A" w:rsidRDefault="007F380A" w:rsidP="00600E6C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0F0A0A">
              <w:rPr>
                <w:rFonts w:cstheme="minorHAnsi"/>
                <w:sz w:val="18"/>
                <w:szCs w:val="18"/>
                <w:lang w:val="en-US"/>
              </w:rPr>
              <w:t>All</w:t>
            </w:r>
          </w:p>
        </w:tc>
      </w:tr>
    </w:tbl>
    <w:p w14:paraId="0664B6A2" w14:textId="77777777" w:rsidR="00600E6C" w:rsidRDefault="00600E6C" w:rsidP="001F318B">
      <w:pPr>
        <w:spacing w:line="240" w:lineRule="auto"/>
      </w:pPr>
    </w:p>
    <w:p w14:paraId="166F4F83" w14:textId="0596715F" w:rsidR="00C270D6" w:rsidRDefault="00C270D6">
      <w:pPr>
        <w:spacing w:after="200" w:line="276" w:lineRule="auto"/>
      </w:pPr>
      <w:bookmarkStart w:id="1" w:name="_Ref69986670"/>
      <w:bookmarkStart w:id="2" w:name="_Ref86331344"/>
      <w:r>
        <w:br w:type="page"/>
      </w:r>
    </w:p>
    <w:p w14:paraId="35AF31A3" w14:textId="77777777" w:rsidR="009D3042" w:rsidRPr="00EA351C" w:rsidRDefault="009D3042" w:rsidP="009D3042">
      <w:pPr>
        <w:pStyle w:val="Heading1"/>
        <w:spacing w:line="240" w:lineRule="auto"/>
        <w:rPr>
          <w:lang w:val="en-US"/>
        </w:rPr>
      </w:pPr>
      <w:bookmarkStart w:id="3" w:name="_Ref97829694"/>
      <w:bookmarkEnd w:id="1"/>
      <w:bookmarkEnd w:id="2"/>
      <w:r w:rsidRPr="00EA351C">
        <w:rPr>
          <w:lang w:val="en-US"/>
        </w:rPr>
        <w:t>Appendix A: XSD</w:t>
      </w:r>
      <w:bookmarkEnd w:id="3"/>
      <w:r w:rsidRPr="00EA351C">
        <w:rPr>
          <w:lang w:val="en-US"/>
        </w:rPr>
        <w:t xml:space="preserve"> </w:t>
      </w:r>
    </w:p>
    <w:p w14:paraId="1D100ED0" w14:textId="77777777" w:rsidR="009D3042" w:rsidRPr="00EA351C" w:rsidRDefault="009D3042" w:rsidP="009D3042">
      <w:pPr>
        <w:spacing w:after="200" w:line="240" w:lineRule="auto"/>
        <w:rPr>
          <w:lang w:val="en-US"/>
        </w:rPr>
      </w:pPr>
    </w:p>
    <w:p w14:paraId="0C14F7D0" w14:textId="5E151EA5" w:rsidR="009D3042" w:rsidRDefault="009D3042" w:rsidP="009D3042">
      <w:pPr>
        <w:spacing w:after="200" w:line="240" w:lineRule="auto"/>
      </w:pPr>
      <w:r w:rsidRPr="004B3D81">
        <w:t>The structure is updated in the XSD in these links:</w:t>
      </w:r>
      <w:r>
        <w:t xml:space="preserve"> </w:t>
      </w:r>
      <w:hyperlink r:id="rId12" w:history="1">
        <w:r w:rsidRPr="00FD2C62">
          <w:rPr>
            <w:rStyle w:val="Hyperlink"/>
          </w:rPr>
          <w:t>Link 1</w:t>
        </w:r>
      </w:hyperlink>
      <w:r>
        <w:t xml:space="preserve"> and </w:t>
      </w:r>
      <w:hyperlink r:id="rId13" w:history="1">
        <w:r w:rsidRPr="00FD2C62">
          <w:rPr>
            <w:rStyle w:val="Hyperlink"/>
          </w:rPr>
          <w:t>Link 2</w:t>
        </w:r>
      </w:hyperlink>
      <w:r w:rsidRPr="004B3D81">
        <w:t xml:space="preserve"> </w:t>
      </w:r>
    </w:p>
    <w:p w14:paraId="6336D41D" w14:textId="18DE141E" w:rsidR="00682D31" w:rsidRDefault="00682D31" w:rsidP="009D3042">
      <w:pPr>
        <w:spacing w:after="200" w:line="240" w:lineRule="auto"/>
      </w:pPr>
      <w:r>
        <w:br w:type="page"/>
      </w:r>
    </w:p>
    <w:p w14:paraId="3FD4A1AE" w14:textId="77777777" w:rsidR="009D3042" w:rsidRDefault="009D3042" w:rsidP="009D3042">
      <w:pPr>
        <w:pStyle w:val="Heading1"/>
        <w:spacing w:line="240" w:lineRule="auto"/>
        <w:rPr>
          <w:lang w:val="en-US"/>
        </w:rPr>
      </w:pPr>
      <w:bookmarkStart w:id="4" w:name="_Ref97829698"/>
      <w:r w:rsidRPr="004335DE">
        <w:rPr>
          <w:lang w:val="en-US"/>
        </w:rPr>
        <w:t>Appendix</w:t>
      </w:r>
      <w:r>
        <w:rPr>
          <w:lang w:val="en-US"/>
        </w:rPr>
        <w:t xml:space="preserve"> </w:t>
      </w:r>
      <w:r w:rsidRPr="00C13BD6">
        <w:rPr>
          <w:lang w:val="en-US"/>
        </w:rPr>
        <w:t>B</w:t>
      </w:r>
      <w:r w:rsidRPr="004335DE">
        <w:rPr>
          <w:lang w:val="en-US"/>
        </w:rPr>
        <w:t xml:space="preserve">: </w:t>
      </w:r>
      <w:r>
        <w:rPr>
          <w:lang w:val="en-US"/>
        </w:rPr>
        <w:t>API specifications</w:t>
      </w:r>
      <w:bookmarkEnd w:id="4"/>
    </w:p>
    <w:p w14:paraId="5B4B6C4C" w14:textId="77777777" w:rsidR="009D3042" w:rsidRDefault="009D3042" w:rsidP="009D3042">
      <w:pPr>
        <w:rPr>
          <w:lang w:val="en-US"/>
        </w:rPr>
      </w:pPr>
    </w:p>
    <w:p w14:paraId="77868283" w14:textId="77777777" w:rsidR="009D3042" w:rsidRDefault="009D3042" w:rsidP="009D3042">
      <w:pPr>
        <w:pStyle w:val="Heading2"/>
      </w:pPr>
      <w:bookmarkStart w:id="5" w:name="_Ref97829923"/>
      <w:r>
        <w:t>OAS Specification for NH APIs</w:t>
      </w:r>
      <w:bookmarkEnd w:id="5"/>
    </w:p>
    <w:p w14:paraId="7E49D2CC" w14:textId="77777777" w:rsidR="009D3042" w:rsidRDefault="009D3042" w:rsidP="009D3042">
      <w:pPr>
        <w:spacing w:after="200" w:line="240" w:lineRule="auto"/>
      </w:pPr>
    </w:p>
    <w:p w14:paraId="7128DC02" w14:textId="40D9D546" w:rsidR="009D3042" w:rsidRPr="00261A68" w:rsidRDefault="009D3042" w:rsidP="009D3042">
      <w:pPr>
        <w:rPr>
          <w:rFonts w:asciiTheme="majorHAnsi" w:hAnsiTheme="majorHAnsi" w:cstheme="majorHAnsi"/>
        </w:rPr>
      </w:pPr>
      <w:r w:rsidRPr="00261A68">
        <w:rPr>
          <w:rFonts w:asciiTheme="majorHAnsi" w:hAnsiTheme="majorHAnsi" w:cstheme="majorHAnsi"/>
        </w:rPr>
        <w:t xml:space="preserve">Please click </w:t>
      </w:r>
      <w:hyperlink r:id="rId14" w:history="1">
        <w:r w:rsidRPr="00FD2C62">
          <w:rPr>
            <w:rStyle w:val="Hyperlink"/>
            <w:rFonts w:asciiTheme="majorHAnsi" w:hAnsiTheme="majorHAnsi" w:cstheme="majorHAnsi"/>
          </w:rPr>
          <w:t>here</w:t>
        </w:r>
      </w:hyperlink>
      <w:r>
        <w:rPr>
          <w:rFonts w:asciiTheme="majorHAnsi" w:hAnsiTheme="majorHAnsi" w:cstheme="majorHAnsi"/>
        </w:rPr>
        <w:t xml:space="preserve"> for the OAS Specification for Functional APIs</w:t>
      </w:r>
    </w:p>
    <w:p w14:paraId="478D3B54" w14:textId="5E632070" w:rsidR="009D3042" w:rsidRDefault="009D3042" w:rsidP="009D3042">
      <w:pPr>
        <w:spacing w:after="200" w:line="240" w:lineRule="auto"/>
      </w:pPr>
    </w:p>
    <w:p w14:paraId="1BE04C1F" w14:textId="7CE9EA98" w:rsidR="00617EA5" w:rsidRDefault="00617EA5" w:rsidP="009D3042">
      <w:pPr>
        <w:spacing w:after="200" w:line="240" w:lineRule="auto"/>
        <w:rPr>
          <w:rFonts w:asciiTheme="majorHAnsi" w:eastAsiaTheme="majorEastAsia" w:hAnsiTheme="majorHAnsi" w:cstheme="majorBidi"/>
          <w:bCs/>
          <w:color w:val="00D7BD" w:themeColor="accent1"/>
          <w:sz w:val="28"/>
          <w:szCs w:val="26"/>
        </w:rPr>
      </w:pPr>
      <w:r w:rsidRPr="00617EA5">
        <w:rPr>
          <w:rFonts w:asciiTheme="majorHAnsi" w:eastAsiaTheme="majorEastAsia" w:hAnsiTheme="majorHAnsi" w:cstheme="majorBidi"/>
          <w:bCs/>
          <w:color w:val="00D7BD" w:themeColor="accent1"/>
          <w:sz w:val="28"/>
          <w:szCs w:val="26"/>
        </w:rPr>
        <w:t>OAS Specification for CDR APIs</w:t>
      </w:r>
    </w:p>
    <w:p w14:paraId="7C63B8A0" w14:textId="2FD99C12" w:rsidR="009D3042" w:rsidRPr="00261A68" w:rsidRDefault="00617EA5" w:rsidP="00617EA5">
      <w:pPr>
        <w:rPr>
          <w:rFonts w:asciiTheme="majorHAnsi" w:hAnsiTheme="majorHAnsi" w:cstheme="majorHAnsi"/>
        </w:rPr>
      </w:pPr>
      <w:r w:rsidRPr="00261A68">
        <w:rPr>
          <w:rFonts w:asciiTheme="majorHAnsi" w:hAnsiTheme="majorHAnsi" w:cstheme="majorHAnsi"/>
        </w:rPr>
        <w:t xml:space="preserve">Please click </w:t>
      </w:r>
      <w:hyperlink r:id="rId15" w:history="1">
        <w:r w:rsidRPr="00FD2C62">
          <w:rPr>
            <w:rStyle w:val="Hyperlink"/>
            <w:rFonts w:asciiTheme="majorHAnsi" w:hAnsiTheme="majorHAnsi" w:cstheme="majorHAnsi"/>
          </w:rPr>
          <w:t>here</w:t>
        </w:r>
      </w:hyperlink>
      <w:r>
        <w:rPr>
          <w:rFonts w:asciiTheme="majorHAnsi" w:hAnsiTheme="majorHAnsi" w:cstheme="majorHAnsi"/>
        </w:rPr>
        <w:t xml:space="preserve"> for the OAS Specification for CDR APIs</w:t>
      </w:r>
    </w:p>
    <w:p w14:paraId="731E8901" w14:textId="7621660A" w:rsidR="00AE7497" w:rsidRDefault="00AE7497">
      <w:pPr>
        <w:spacing w:after="200" w:line="276" w:lineRule="auto"/>
      </w:pPr>
      <w:bookmarkStart w:id="6" w:name="_GoBack"/>
      <w:bookmarkEnd w:id="6"/>
    </w:p>
    <w:sectPr w:rsidR="00AE7497" w:rsidSect="00477D77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734" w:right="1440" w:bottom="1138" w:left="850" w:header="28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81B57" w14:textId="77777777" w:rsidR="00D24698" w:rsidRDefault="00D24698" w:rsidP="00CA3E45">
      <w:pPr>
        <w:spacing w:after="0" w:line="240" w:lineRule="auto"/>
      </w:pPr>
      <w:r>
        <w:separator/>
      </w:r>
    </w:p>
  </w:endnote>
  <w:endnote w:type="continuationSeparator" w:id="0">
    <w:p w14:paraId="1347F6A6" w14:textId="77777777" w:rsidR="00D24698" w:rsidRDefault="00D24698" w:rsidP="00CA3E45">
      <w:pPr>
        <w:spacing w:after="0" w:line="240" w:lineRule="auto"/>
      </w:pPr>
      <w:r>
        <w:continuationSeparator/>
      </w:r>
    </w:p>
  </w:endnote>
  <w:endnote w:type="continuationNotice" w:id="1">
    <w:p w14:paraId="5D3F4F1B" w14:textId="77777777" w:rsidR="00D24698" w:rsidRDefault="00D246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E421" w14:textId="77777777" w:rsidR="00EA351C" w:rsidRDefault="00EA351C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165C" w14:textId="77777777" w:rsidR="00EA351C" w:rsidRDefault="00EA351C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88ADF" w14:textId="77777777" w:rsidR="00D24698" w:rsidRDefault="00D24698" w:rsidP="00CA3E45">
      <w:pPr>
        <w:spacing w:after="0" w:line="240" w:lineRule="auto"/>
      </w:pPr>
      <w:r>
        <w:separator/>
      </w:r>
    </w:p>
  </w:footnote>
  <w:footnote w:type="continuationSeparator" w:id="0">
    <w:p w14:paraId="7B4A190A" w14:textId="77777777" w:rsidR="00D24698" w:rsidRDefault="00D24698" w:rsidP="00CA3E45">
      <w:pPr>
        <w:spacing w:after="0" w:line="240" w:lineRule="auto"/>
      </w:pPr>
      <w:r>
        <w:continuationSeparator/>
      </w:r>
    </w:p>
  </w:footnote>
  <w:footnote w:type="continuationNotice" w:id="1">
    <w:p w14:paraId="3B97EDF9" w14:textId="77777777" w:rsidR="00D24698" w:rsidRDefault="00D246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24619" w14:textId="77777777" w:rsidR="00EA351C" w:rsidRPr="00D64AE9" w:rsidRDefault="00EA351C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BEB9CDC" wp14:editId="58ED8973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90790" cy="2299335"/>
          <wp:effectExtent l="0" t="0" r="381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173AB" w14:textId="77777777" w:rsidR="00EA351C" w:rsidRDefault="00EA351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BBEDF57" wp14:editId="548AC8EC">
          <wp:simplePos x="0" y="0"/>
          <wp:positionH relativeFrom="page">
            <wp:posOffset>-40005</wp:posOffset>
          </wp:positionH>
          <wp:positionV relativeFrom="page">
            <wp:posOffset>13335</wp:posOffset>
          </wp:positionV>
          <wp:extent cx="7590790" cy="229933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4C68D5"/>
    <w:multiLevelType w:val="hybridMultilevel"/>
    <w:tmpl w:val="BB6219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30684"/>
    <w:multiLevelType w:val="hybridMultilevel"/>
    <w:tmpl w:val="D49E709A"/>
    <w:lvl w:ilvl="0" w:tplc="60D0623A">
      <w:start w:val="1"/>
      <w:numFmt w:val="bullet"/>
      <w:pStyle w:val="Bullet"/>
      <w:lvlText w:val=""/>
      <w:lvlJc w:val="left"/>
      <w:pPr>
        <w:ind w:left="473" w:hanging="360"/>
      </w:pPr>
      <w:rPr>
        <w:rFonts w:ascii="Symbol" w:hAnsi="Symbol" w:hint="default"/>
        <w:color w:val="4BACC6"/>
      </w:rPr>
    </w:lvl>
    <w:lvl w:ilvl="1" w:tplc="08090003">
      <w:numFmt w:val="decimal"/>
      <w:lvlText w:val=""/>
      <w:lvlJc w:val="left"/>
      <w:pPr>
        <w:ind w:left="0" w:firstLine="0"/>
      </w:pPr>
    </w:lvl>
    <w:lvl w:ilvl="2" w:tplc="08090005">
      <w:numFmt w:val="decimal"/>
      <w:lvlText w:val=""/>
      <w:lvlJc w:val="left"/>
      <w:pPr>
        <w:ind w:left="0" w:firstLine="0"/>
      </w:pPr>
    </w:lvl>
    <w:lvl w:ilvl="3" w:tplc="08090001">
      <w:numFmt w:val="decimal"/>
      <w:lvlText w:val=""/>
      <w:lvlJc w:val="left"/>
      <w:pPr>
        <w:ind w:left="0" w:firstLine="0"/>
      </w:pPr>
    </w:lvl>
    <w:lvl w:ilvl="4" w:tplc="08090003">
      <w:numFmt w:val="decimal"/>
      <w:lvlText w:val=""/>
      <w:lvlJc w:val="left"/>
      <w:pPr>
        <w:ind w:left="0" w:firstLine="0"/>
      </w:pPr>
    </w:lvl>
    <w:lvl w:ilvl="5" w:tplc="08090005">
      <w:numFmt w:val="decimal"/>
      <w:lvlText w:val=""/>
      <w:lvlJc w:val="left"/>
      <w:pPr>
        <w:ind w:left="0" w:firstLine="0"/>
      </w:pPr>
    </w:lvl>
    <w:lvl w:ilvl="6" w:tplc="08090001">
      <w:numFmt w:val="decimal"/>
      <w:lvlText w:val=""/>
      <w:lvlJc w:val="left"/>
      <w:pPr>
        <w:ind w:left="0" w:firstLine="0"/>
      </w:pPr>
    </w:lvl>
    <w:lvl w:ilvl="7" w:tplc="08090003">
      <w:numFmt w:val="decimal"/>
      <w:lvlText w:val=""/>
      <w:lvlJc w:val="left"/>
      <w:pPr>
        <w:ind w:left="0" w:firstLine="0"/>
      </w:pPr>
    </w:lvl>
    <w:lvl w:ilvl="8" w:tplc="08090005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D0D355B"/>
    <w:multiLevelType w:val="multilevel"/>
    <w:tmpl w:val="9DF2FA34"/>
    <w:styleLink w:val="AppendixList"/>
    <w:lvl w:ilvl="0">
      <w:start w:val="1"/>
      <w:numFmt w:val="upperLetter"/>
      <w:pStyle w:val="A1"/>
      <w:lvlText w:val="APPENDIX %1"/>
      <w:lvlJc w:val="left"/>
      <w:pPr>
        <w:ind w:left="1364" w:hanging="1080"/>
      </w:pPr>
      <w:rPr>
        <w:rFonts w:ascii="Arial" w:hAnsi="Arial" w:cs="Times New Roman" w:hint="default"/>
        <w:b/>
        <w:i w:val="0"/>
        <w:color w:val="009DE0"/>
        <w:sz w:val="32"/>
      </w:rPr>
    </w:lvl>
    <w:lvl w:ilvl="1">
      <w:start w:val="1"/>
      <w:numFmt w:val="decimal"/>
      <w:lvlText w:val="%1.%2"/>
      <w:lvlJc w:val="left"/>
      <w:pPr>
        <w:ind w:left="1077" w:hanging="510"/>
      </w:pPr>
      <w:rPr>
        <w:rFonts w:ascii="Arial" w:hAnsi="Arial" w:cs="Times New Roman" w:hint="default"/>
        <w:b/>
        <w:i w:val="0"/>
        <w:color w:val="009DE0"/>
        <w:sz w:val="28"/>
      </w:rPr>
    </w:lvl>
    <w:lvl w:ilvl="2">
      <w:start w:val="1"/>
      <w:numFmt w:val="decimal"/>
      <w:lvlText w:val="%1.%2.%3"/>
      <w:lvlJc w:val="left"/>
      <w:pPr>
        <w:ind w:left="1077" w:hanging="510"/>
      </w:pPr>
      <w:rPr>
        <w:rFonts w:ascii="Arial" w:hAnsi="Arial" w:cs="Times New Roman" w:hint="default"/>
        <w:b/>
        <w:i w:val="0"/>
        <w:color w:val="009DE0"/>
        <w:sz w:val="24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F142B"/>
    <w:multiLevelType w:val="hybridMultilevel"/>
    <w:tmpl w:val="D4B6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23BFC"/>
    <w:multiLevelType w:val="hybridMultilevel"/>
    <w:tmpl w:val="B5AC3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811278"/>
    <w:multiLevelType w:val="hybridMultilevel"/>
    <w:tmpl w:val="E95C3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7F39BE"/>
    <w:multiLevelType w:val="multilevel"/>
    <w:tmpl w:val="D7CE8632"/>
    <w:lvl w:ilvl="0">
      <w:start w:val="1"/>
      <w:numFmt w:val="upperLetter"/>
      <w:pStyle w:val="Appendix"/>
      <w:lvlText w:val="APPENDIX %1"/>
      <w:lvlJc w:val="left"/>
      <w:pPr>
        <w:tabs>
          <w:tab w:val="num" w:pos="6521"/>
        </w:tabs>
        <w:ind w:left="4536" w:firstLine="0"/>
      </w:pPr>
    </w:lvl>
    <w:lvl w:ilvl="1">
      <w:start w:val="1"/>
      <w:numFmt w:val="decimal"/>
      <w:pStyle w:val="A2"/>
      <w:lvlText w:val="%1.%2"/>
      <w:lvlJc w:val="left"/>
      <w:pPr>
        <w:tabs>
          <w:tab w:val="num" w:pos="448"/>
        </w:tabs>
        <w:ind w:left="-403" w:firstLine="0"/>
      </w:pPr>
    </w:lvl>
    <w:lvl w:ilvl="2">
      <w:start w:val="1"/>
      <w:numFmt w:val="decimal"/>
      <w:pStyle w:val="A3"/>
      <w:lvlText w:val="%1.%2.%3"/>
      <w:lvlJc w:val="left"/>
      <w:pPr>
        <w:tabs>
          <w:tab w:val="num" w:pos="448"/>
        </w:tabs>
        <w:ind w:left="-40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397"/>
        </w:tabs>
        <w:ind w:left="965" w:hanging="648"/>
      </w:pPr>
    </w:lvl>
    <w:lvl w:ilvl="4">
      <w:start w:val="1"/>
      <w:numFmt w:val="decimal"/>
      <w:lvlText w:val="%1.%2.%3.%4.%5."/>
      <w:lvlJc w:val="left"/>
      <w:pPr>
        <w:tabs>
          <w:tab w:val="num" w:pos="1757"/>
        </w:tabs>
        <w:ind w:left="1469" w:hanging="792"/>
      </w:pPr>
    </w:lvl>
    <w:lvl w:ilvl="5">
      <w:start w:val="1"/>
      <w:numFmt w:val="decimal"/>
      <w:lvlText w:val="%1.%2.%3.%4.%5.%6."/>
      <w:lvlJc w:val="left"/>
      <w:pPr>
        <w:tabs>
          <w:tab w:val="num" w:pos="2477"/>
        </w:tabs>
        <w:ind w:left="19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37"/>
        </w:tabs>
        <w:ind w:left="247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57"/>
        </w:tabs>
        <w:ind w:left="298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17"/>
        </w:tabs>
        <w:ind w:left="3557" w:hanging="1440"/>
      </w:pPr>
    </w:lvl>
  </w:abstractNum>
  <w:abstractNum w:abstractNumId="11" w15:restartNumberingAfterBreak="0">
    <w:nsid w:val="473740C1"/>
    <w:multiLevelType w:val="hybridMultilevel"/>
    <w:tmpl w:val="D54A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25F6B"/>
    <w:multiLevelType w:val="hybridMultilevel"/>
    <w:tmpl w:val="ADCAA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5E432B"/>
    <w:multiLevelType w:val="hybridMultilevel"/>
    <w:tmpl w:val="1876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47A8E"/>
    <w:multiLevelType w:val="hybridMultilevel"/>
    <w:tmpl w:val="5FFA8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20110D"/>
    <w:multiLevelType w:val="hybridMultilevel"/>
    <w:tmpl w:val="A008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D4300"/>
    <w:multiLevelType w:val="hybridMultilevel"/>
    <w:tmpl w:val="0C9E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63AFF"/>
    <w:multiLevelType w:val="hybridMultilevel"/>
    <w:tmpl w:val="2408C5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DF7C2F"/>
    <w:multiLevelType w:val="hybridMultilevel"/>
    <w:tmpl w:val="CF1E3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C33FD8"/>
    <w:multiLevelType w:val="hybridMultilevel"/>
    <w:tmpl w:val="EA22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3609A"/>
    <w:multiLevelType w:val="hybridMultilevel"/>
    <w:tmpl w:val="8C78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E63AF"/>
    <w:multiLevelType w:val="hybridMultilevel"/>
    <w:tmpl w:val="32B6F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5C54DD"/>
    <w:multiLevelType w:val="hybridMultilevel"/>
    <w:tmpl w:val="D6C6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9"/>
  </w:num>
  <w:num w:numId="11">
    <w:abstractNumId w:val="18"/>
  </w:num>
  <w:num w:numId="12">
    <w:abstractNumId w:val="16"/>
  </w:num>
  <w:num w:numId="13">
    <w:abstractNumId w:val="15"/>
  </w:num>
  <w:num w:numId="14">
    <w:abstractNumId w:val="4"/>
  </w:num>
  <w:num w:numId="15">
    <w:abstractNumId w:val="12"/>
  </w:num>
  <w:num w:numId="16">
    <w:abstractNumId w:val="20"/>
  </w:num>
  <w:num w:numId="17">
    <w:abstractNumId w:val="8"/>
  </w:num>
  <w:num w:numId="18">
    <w:abstractNumId w:val="9"/>
  </w:num>
  <w:num w:numId="19">
    <w:abstractNumId w:val="17"/>
  </w:num>
  <w:num w:numId="20">
    <w:abstractNumId w:val="21"/>
  </w:num>
  <w:num w:numId="21">
    <w:abstractNumId w:val="13"/>
  </w:num>
  <w:num w:numId="22">
    <w:abstractNumId w:val="11"/>
  </w:num>
  <w:num w:numId="2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4A"/>
    <w:rsid w:val="00003192"/>
    <w:rsid w:val="0000652D"/>
    <w:rsid w:val="0000742D"/>
    <w:rsid w:val="000119BB"/>
    <w:rsid w:val="000134C0"/>
    <w:rsid w:val="00016213"/>
    <w:rsid w:val="00022C9E"/>
    <w:rsid w:val="00024E7A"/>
    <w:rsid w:val="0004462D"/>
    <w:rsid w:val="00045302"/>
    <w:rsid w:val="000472F3"/>
    <w:rsid w:val="00051D39"/>
    <w:rsid w:val="00053C4A"/>
    <w:rsid w:val="000617A8"/>
    <w:rsid w:val="000724A4"/>
    <w:rsid w:val="00075B5F"/>
    <w:rsid w:val="00075B6E"/>
    <w:rsid w:val="00077E96"/>
    <w:rsid w:val="000833E6"/>
    <w:rsid w:val="00084818"/>
    <w:rsid w:val="00086D52"/>
    <w:rsid w:val="00093ADE"/>
    <w:rsid w:val="00094FEA"/>
    <w:rsid w:val="000A1C8F"/>
    <w:rsid w:val="000A3E88"/>
    <w:rsid w:val="000B1359"/>
    <w:rsid w:val="000B6B65"/>
    <w:rsid w:val="000C3A43"/>
    <w:rsid w:val="000C413E"/>
    <w:rsid w:val="000E074B"/>
    <w:rsid w:val="000E59F6"/>
    <w:rsid w:val="000F0A0A"/>
    <w:rsid w:val="000F2782"/>
    <w:rsid w:val="00102A43"/>
    <w:rsid w:val="00102F4B"/>
    <w:rsid w:val="00104166"/>
    <w:rsid w:val="00113AA7"/>
    <w:rsid w:val="00113DC0"/>
    <w:rsid w:val="001166F6"/>
    <w:rsid w:val="001316EE"/>
    <w:rsid w:val="00137F09"/>
    <w:rsid w:val="00144782"/>
    <w:rsid w:val="00145240"/>
    <w:rsid w:val="001507D5"/>
    <w:rsid w:val="0016631E"/>
    <w:rsid w:val="0016679C"/>
    <w:rsid w:val="00166DBD"/>
    <w:rsid w:val="00172E0C"/>
    <w:rsid w:val="001735E2"/>
    <w:rsid w:val="001756CA"/>
    <w:rsid w:val="001870E0"/>
    <w:rsid w:val="00191551"/>
    <w:rsid w:val="00191C63"/>
    <w:rsid w:val="0019335D"/>
    <w:rsid w:val="001A0FA6"/>
    <w:rsid w:val="001A5040"/>
    <w:rsid w:val="001A5BB9"/>
    <w:rsid w:val="001A5D0E"/>
    <w:rsid w:val="001B2504"/>
    <w:rsid w:val="001B3892"/>
    <w:rsid w:val="001C2450"/>
    <w:rsid w:val="001D4765"/>
    <w:rsid w:val="001D7A96"/>
    <w:rsid w:val="001E19E0"/>
    <w:rsid w:val="001E5239"/>
    <w:rsid w:val="001E7D3E"/>
    <w:rsid w:val="001F00B2"/>
    <w:rsid w:val="001F11E9"/>
    <w:rsid w:val="001F318B"/>
    <w:rsid w:val="001F355E"/>
    <w:rsid w:val="002005E7"/>
    <w:rsid w:val="002011AA"/>
    <w:rsid w:val="0020325C"/>
    <w:rsid w:val="002106FE"/>
    <w:rsid w:val="00214100"/>
    <w:rsid w:val="00222A7E"/>
    <w:rsid w:val="00226855"/>
    <w:rsid w:val="0023055C"/>
    <w:rsid w:val="00235013"/>
    <w:rsid w:val="00235A28"/>
    <w:rsid w:val="00235C12"/>
    <w:rsid w:val="00250DF2"/>
    <w:rsid w:val="00253D71"/>
    <w:rsid w:val="00265104"/>
    <w:rsid w:val="00275136"/>
    <w:rsid w:val="0029660D"/>
    <w:rsid w:val="002970B5"/>
    <w:rsid w:val="002A4849"/>
    <w:rsid w:val="002B1896"/>
    <w:rsid w:val="002B252B"/>
    <w:rsid w:val="002B43B4"/>
    <w:rsid w:val="002C2755"/>
    <w:rsid w:val="002C4F12"/>
    <w:rsid w:val="002C7BF1"/>
    <w:rsid w:val="002D0002"/>
    <w:rsid w:val="002D0234"/>
    <w:rsid w:val="002D36FF"/>
    <w:rsid w:val="002E1B35"/>
    <w:rsid w:val="002E5543"/>
    <w:rsid w:val="002E5787"/>
    <w:rsid w:val="00301B2B"/>
    <w:rsid w:val="00310402"/>
    <w:rsid w:val="00316CB6"/>
    <w:rsid w:val="0032373B"/>
    <w:rsid w:val="00326E46"/>
    <w:rsid w:val="00331675"/>
    <w:rsid w:val="00331D8C"/>
    <w:rsid w:val="003338DE"/>
    <w:rsid w:val="00337680"/>
    <w:rsid w:val="00337771"/>
    <w:rsid w:val="00341313"/>
    <w:rsid w:val="00347F2B"/>
    <w:rsid w:val="00353D1A"/>
    <w:rsid w:val="003553D8"/>
    <w:rsid w:val="00360671"/>
    <w:rsid w:val="0036621D"/>
    <w:rsid w:val="003675FC"/>
    <w:rsid w:val="0037398A"/>
    <w:rsid w:val="00373D7D"/>
    <w:rsid w:val="00376C5B"/>
    <w:rsid w:val="003817F0"/>
    <w:rsid w:val="00381F1C"/>
    <w:rsid w:val="00383131"/>
    <w:rsid w:val="00383AAC"/>
    <w:rsid w:val="00384CE1"/>
    <w:rsid w:val="00390705"/>
    <w:rsid w:val="00393FA4"/>
    <w:rsid w:val="0039430C"/>
    <w:rsid w:val="00396F9E"/>
    <w:rsid w:val="003A15EE"/>
    <w:rsid w:val="003A7D69"/>
    <w:rsid w:val="003B0369"/>
    <w:rsid w:val="003B0475"/>
    <w:rsid w:val="003B2048"/>
    <w:rsid w:val="003C033C"/>
    <w:rsid w:val="003C0EAE"/>
    <w:rsid w:val="003C1F9A"/>
    <w:rsid w:val="003D3842"/>
    <w:rsid w:val="003E1C76"/>
    <w:rsid w:val="003E391A"/>
    <w:rsid w:val="003F4C4B"/>
    <w:rsid w:val="004052BC"/>
    <w:rsid w:val="00405D1C"/>
    <w:rsid w:val="0041148B"/>
    <w:rsid w:val="004154BA"/>
    <w:rsid w:val="0041634E"/>
    <w:rsid w:val="004175E5"/>
    <w:rsid w:val="00417FB9"/>
    <w:rsid w:val="004205D0"/>
    <w:rsid w:val="00423A39"/>
    <w:rsid w:val="00432730"/>
    <w:rsid w:val="004335DE"/>
    <w:rsid w:val="00437C86"/>
    <w:rsid w:val="00442D56"/>
    <w:rsid w:val="004437AD"/>
    <w:rsid w:val="00444628"/>
    <w:rsid w:val="00445E27"/>
    <w:rsid w:val="00457956"/>
    <w:rsid w:val="00466B8B"/>
    <w:rsid w:val="00472DAD"/>
    <w:rsid w:val="00474FA1"/>
    <w:rsid w:val="00477A3B"/>
    <w:rsid w:val="00477D77"/>
    <w:rsid w:val="004800F9"/>
    <w:rsid w:val="004912A5"/>
    <w:rsid w:val="00497A51"/>
    <w:rsid w:val="004A0DCC"/>
    <w:rsid w:val="004A6E0B"/>
    <w:rsid w:val="004A7F76"/>
    <w:rsid w:val="004B320C"/>
    <w:rsid w:val="004B3D81"/>
    <w:rsid w:val="004C3D4E"/>
    <w:rsid w:val="004D3C2D"/>
    <w:rsid w:val="004D76AA"/>
    <w:rsid w:val="004E0E16"/>
    <w:rsid w:val="004F1BAC"/>
    <w:rsid w:val="004F32A9"/>
    <w:rsid w:val="004F43C5"/>
    <w:rsid w:val="004F5227"/>
    <w:rsid w:val="004F5685"/>
    <w:rsid w:val="004F7BEE"/>
    <w:rsid w:val="005013DA"/>
    <w:rsid w:val="00502677"/>
    <w:rsid w:val="0050358A"/>
    <w:rsid w:val="00510FF2"/>
    <w:rsid w:val="00513F7C"/>
    <w:rsid w:val="005203CB"/>
    <w:rsid w:val="0052329C"/>
    <w:rsid w:val="00524442"/>
    <w:rsid w:val="00541475"/>
    <w:rsid w:val="00542E89"/>
    <w:rsid w:val="00551198"/>
    <w:rsid w:val="005515D7"/>
    <w:rsid w:val="00551E11"/>
    <w:rsid w:val="005572BA"/>
    <w:rsid w:val="005621B2"/>
    <w:rsid w:val="00572068"/>
    <w:rsid w:val="00573022"/>
    <w:rsid w:val="005730DE"/>
    <w:rsid w:val="00575E5B"/>
    <w:rsid w:val="00575F86"/>
    <w:rsid w:val="00576929"/>
    <w:rsid w:val="00577271"/>
    <w:rsid w:val="00583B19"/>
    <w:rsid w:val="005963D0"/>
    <w:rsid w:val="005A1478"/>
    <w:rsid w:val="005A245F"/>
    <w:rsid w:val="005A59DD"/>
    <w:rsid w:val="005A6B35"/>
    <w:rsid w:val="005B37A8"/>
    <w:rsid w:val="005C39DC"/>
    <w:rsid w:val="005C5CC4"/>
    <w:rsid w:val="005C66E7"/>
    <w:rsid w:val="005D0BD4"/>
    <w:rsid w:val="005D5CC8"/>
    <w:rsid w:val="005D7A12"/>
    <w:rsid w:val="005E46B6"/>
    <w:rsid w:val="005F4CAF"/>
    <w:rsid w:val="005F6A6B"/>
    <w:rsid w:val="005F7EE7"/>
    <w:rsid w:val="00600E6C"/>
    <w:rsid w:val="0060233F"/>
    <w:rsid w:val="00604881"/>
    <w:rsid w:val="00605199"/>
    <w:rsid w:val="00616D22"/>
    <w:rsid w:val="0061797A"/>
    <w:rsid w:val="006179F3"/>
    <w:rsid w:val="00617EA5"/>
    <w:rsid w:val="00621C4A"/>
    <w:rsid w:val="006263CC"/>
    <w:rsid w:val="0062719C"/>
    <w:rsid w:val="0063040E"/>
    <w:rsid w:val="00630655"/>
    <w:rsid w:val="006307E9"/>
    <w:rsid w:val="00642CD5"/>
    <w:rsid w:val="00643904"/>
    <w:rsid w:val="00645B2B"/>
    <w:rsid w:val="00656CB6"/>
    <w:rsid w:val="0066673F"/>
    <w:rsid w:val="00671BE8"/>
    <w:rsid w:val="00671EB9"/>
    <w:rsid w:val="006739D0"/>
    <w:rsid w:val="006757AB"/>
    <w:rsid w:val="006765AC"/>
    <w:rsid w:val="00676668"/>
    <w:rsid w:val="00682D31"/>
    <w:rsid w:val="00683F1E"/>
    <w:rsid w:val="006868B5"/>
    <w:rsid w:val="00693548"/>
    <w:rsid w:val="006A2507"/>
    <w:rsid w:val="006A3BD8"/>
    <w:rsid w:val="006A42E6"/>
    <w:rsid w:val="006A473D"/>
    <w:rsid w:val="006A5EE4"/>
    <w:rsid w:val="006B16E0"/>
    <w:rsid w:val="006B3490"/>
    <w:rsid w:val="006B4816"/>
    <w:rsid w:val="006C1F64"/>
    <w:rsid w:val="006C33A7"/>
    <w:rsid w:val="006C4C05"/>
    <w:rsid w:val="006D7C78"/>
    <w:rsid w:val="006E2D67"/>
    <w:rsid w:val="006E4823"/>
    <w:rsid w:val="006E59B0"/>
    <w:rsid w:val="006F3438"/>
    <w:rsid w:val="00701829"/>
    <w:rsid w:val="00704273"/>
    <w:rsid w:val="00714651"/>
    <w:rsid w:val="0071642F"/>
    <w:rsid w:val="007303C1"/>
    <w:rsid w:val="0073390A"/>
    <w:rsid w:val="007403A8"/>
    <w:rsid w:val="0075142F"/>
    <w:rsid w:val="00755C2A"/>
    <w:rsid w:val="00755EF2"/>
    <w:rsid w:val="00756F7A"/>
    <w:rsid w:val="00757DA5"/>
    <w:rsid w:val="0076614E"/>
    <w:rsid w:val="00766461"/>
    <w:rsid w:val="0077269B"/>
    <w:rsid w:val="007727D4"/>
    <w:rsid w:val="00786C17"/>
    <w:rsid w:val="007934F7"/>
    <w:rsid w:val="00796887"/>
    <w:rsid w:val="00796C52"/>
    <w:rsid w:val="007A0FEB"/>
    <w:rsid w:val="007A3948"/>
    <w:rsid w:val="007A65D0"/>
    <w:rsid w:val="007A7D64"/>
    <w:rsid w:val="007A7E49"/>
    <w:rsid w:val="007B1844"/>
    <w:rsid w:val="007B3FF6"/>
    <w:rsid w:val="007B50D2"/>
    <w:rsid w:val="007B7104"/>
    <w:rsid w:val="007C2D4F"/>
    <w:rsid w:val="007C3AD8"/>
    <w:rsid w:val="007C4F4B"/>
    <w:rsid w:val="007C517D"/>
    <w:rsid w:val="007C527A"/>
    <w:rsid w:val="007D1041"/>
    <w:rsid w:val="007D56DA"/>
    <w:rsid w:val="007D72A8"/>
    <w:rsid w:val="007E2BAE"/>
    <w:rsid w:val="007E332A"/>
    <w:rsid w:val="007F072B"/>
    <w:rsid w:val="007F380A"/>
    <w:rsid w:val="0080107C"/>
    <w:rsid w:val="00804033"/>
    <w:rsid w:val="00812DD0"/>
    <w:rsid w:val="0082210A"/>
    <w:rsid w:val="00822EAE"/>
    <w:rsid w:val="00824D47"/>
    <w:rsid w:val="0082544B"/>
    <w:rsid w:val="00830E81"/>
    <w:rsid w:val="0083584B"/>
    <w:rsid w:val="00841F3E"/>
    <w:rsid w:val="00843982"/>
    <w:rsid w:val="008515C6"/>
    <w:rsid w:val="00851909"/>
    <w:rsid w:val="0086399E"/>
    <w:rsid w:val="008666AA"/>
    <w:rsid w:val="00880C32"/>
    <w:rsid w:val="00885285"/>
    <w:rsid w:val="00887649"/>
    <w:rsid w:val="00891B74"/>
    <w:rsid w:val="0089529D"/>
    <w:rsid w:val="00897DF2"/>
    <w:rsid w:val="008B1BB6"/>
    <w:rsid w:val="008B26D6"/>
    <w:rsid w:val="008C08B7"/>
    <w:rsid w:val="008C7419"/>
    <w:rsid w:val="008D61F1"/>
    <w:rsid w:val="008E6F35"/>
    <w:rsid w:val="008F1932"/>
    <w:rsid w:val="008F27E6"/>
    <w:rsid w:val="009061E6"/>
    <w:rsid w:val="00920D05"/>
    <w:rsid w:val="00924FAA"/>
    <w:rsid w:val="00930232"/>
    <w:rsid w:val="00930F8E"/>
    <w:rsid w:val="009339BB"/>
    <w:rsid w:val="00933E9A"/>
    <w:rsid w:val="00934CE5"/>
    <w:rsid w:val="009477F9"/>
    <w:rsid w:val="00950783"/>
    <w:rsid w:val="00955083"/>
    <w:rsid w:val="00961B8E"/>
    <w:rsid w:val="00966315"/>
    <w:rsid w:val="00967FAE"/>
    <w:rsid w:val="00970235"/>
    <w:rsid w:val="00970598"/>
    <w:rsid w:val="009707AA"/>
    <w:rsid w:val="00972D3C"/>
    <w:rsid w:val="00974427"/>
    <w:rsid w:val="00974B08"/>
    <w:rsid w:val="0098207B"/>
    <w:rsid w:val="00984C62"/>
    <w:rsid w:val="00984E88"/>
    <w:rsid w:val="009929F7"/>
    <w:rsid w:val="009931F9"/>
    <w:rsid w:val="00993F0B"/>
    <w:rsid w:val="00995CA7"/>
    <w:rsid w:val="009A28F3"/>
    <w:rsid w:val="009A2B89"/>
    <w:rsid w:val="009B0374"/>
    <w:rsid w:val="009B5F86"/>
    <w:rsid w:val="009B6295"/>
    <w:rsid w:val="009C274B"/>
    <w:rsid w:val="009C4B2B"/>
    <w:rsid w:val="009C6131"/>
    <w:rsid w:val="009D213B"/>
    <w:rsid w:val="009D3042"/>
    <w:rsid w:val="009D67C9"/>
    <w:rsid w:val="009D7A1A"/>
    <w:rsid w:val="009E1635"/>
    <w:rsid w:val="009E49BD"/>
    <w:rsid w:val="009E5DF4"/>
    <w:rsid w:val="009E7832"/>
    <w:rsid w:val="009E7937"/>
    <w:rsid w:val="009F1280"/>
    <w:rsid w:val="009F511F"/>
    <w:rsid w:val="009F5EB9"/>
    <w:rsid w:val="00A00277"/>
    <w:rsid w:val="00A002D2"/>
    <w:rsid w:val="00A03FFF"/>
    <w:rsid w:val="00A11D31"/>
    <w:rsid w:val="00A129C0"/>
    <w:rsid w:val="00A22F6C"/>
    <w:rsid w:val="00A26D09"/>
    <w:rsid w:val="00A30234"/>
    <w:rsid w:val="00A319C5"/>
    <w:rsid w:val="00A32BEA"/>
    <w:rsid w:val="00A34710"/>
    <w:rsid w:val="00A36122"/>
    <w:rsid w:val="00A36535"/>
    <w:rsid w:val="00A412A1"/>
    <w:rsid w:val="00A61FC9"/>
    <w:rsid w:val="00A6393D"/>
    <w:rsid w:val="00A73EAD"/>
    <w:rsid w:val="00A86FB4"/>
    <w:rsid w:val="00A97A0E"/>
    <w:rsid w:val="00AA5651"/>
    <w:rsid w:val="00AA5E3B"/>
    <w:rsid w:val="00AB45FF"/>
    <w:rsid w:val="00AC62AD"/>
    <w:rsid w:val="00AD24D2"/>
    <w:rsid w:val="00AD2C59"/>
    <w:rsid w:val="00AD5D71"/>
    <w:rsid w:val="00AD7495"/>
    <w:rsid w:val="00AD7E77"/>
    <w:rsid w:val="00AE053E"/>
    <w:rsid w:val="00AE1171"/>
    <w:rsid w:val="00AE18F5"/>
    <w:rsid w:val="00AE7497"/>
    <w:rsid w:val="00AE7DDB"/>
    <w:rsid w:val="00B050D8"/>
    <w:rsid w:val="00B1519E"/>
    <w:rsid w:val="00B255BC"/>
    <w:rsid w:val="00B31E51"/>
    <w:rsid w:val="00B37654"/>
    <w:rsid w:val="00B37A40"/>
    <w:rsid w:val="00B43911"/>
    <w:rsid w:val="00B45707"/>
    <w:rsid w:val="00B45A29"/>
    <w:rsid w:val="00B47C74"/>
    <w:rsid w:val="00B55A94"/>
    <w:rsid w:val="00B55F3B"/>
    <w:rsid w:val="00B561A3"/>
    <w:rsid w:val="00B6288C"/>
    <w:rsid w:val="00B64D92"/>
    <w:rsid w:val="00B66A96"/>
    <w:rsid w:val="00B70121"/>
    <w:rsid w:val="00B77103"/>
    <w:rsid w:val="00B827EC"/>
    <w:rsid w:val="00B8396A"/>
    <w:rsid w:val="00B873C9"/>
    <w:rsid w:val="00B96ADF"/>
    <w:rsid w:val="00BA1C1B"/>
    <w:rsid w:val="00BA73C5"/>
    <w:rsid w:val="00BB051B"/>
    <w:rsid w:val="00BB158A"/>
    <w:rsid w:val="00BC08DD"/>
    <w:rsid w:val="00BC266F"/>
    <w:rsid w:val="00BC36BD"/>
    <w:rsid w:val="00BC4492"/>
    <w:rsid w:val="00BC7E20"/>
    <w:rsid w:val="00BD13F4"/>
    <w:rsid w:val="00BD416E"/>
    <w:rsid w:val="00BD740F"/>
    <w:rsid w:val="00BE03B7"/>
    <w:rsid w:val="00BE2B8D"/>
    <w:rsid w:val="00BE7924"/>
    <w:rsid w:val="00BF03C4"/>
    <w:rsid w:val="00BF6F30"/>
    <w:rsid w:val="00C004E0"/>
    <w:rsid w:val="00C0183F"/>
    <w:rsid w:val="00C042A4"/>
    <w:rsid w:val="00C109B5"/>
    <w:rsid w:val="00C13BD6"/>
    <w:rsid w:val="00C1625D"/>
    <w:rsid w:val="00C217BC"/>
    <w:rsid w:val="00C270D6"/>
    <w:rsid w:val="00C272D2"/>
    <w:rsid w:val="00C3191E"/>
    <w:rsid w:val="00C31BFE"/>
    <w:rsid w:val="00C378EE"/>
    <w:rsid w:val="00C41D88"/>
    <w:rsid w:val="00C41FCA"/>
    <w:rsid w:val="00C443DD"/>
    <w:rsid w:val="00C4583B"/>
    <w:rsid w:val="00C46303"/>
    <w:rsid w:val="00C471A2"/>
    <w:rsid w:val="00C5074E"/>
    <w:rsid w:val="00C61DBC"/>
    <w:rsid w:val="00C65BA8"/>
    <w:rsid w:val="00C70C62"/>
    <w:rsid w:val="00C801EE"/>
    <w:rsid w:val="00C84C6A"/>
    <w:rsid w:val="00C860BC"/>
    <w:rsid w:val="00C866F4"/>
    <w:rsid w:val="00C87F2D"/>
    <w:rsid w:val="00C9086D"/>
    <w:rsid w:val="00C92DA0"/>
    <w:rsid w:val="00C94354"/>
    <w:rsid w:val="00CA16ED"/>
    <w:rsid w:val="00CA1E59"/>
    <w:rsid w:val="00CA3E45"/>
    <w:rsid w:val="00CA5B05"/>
    <w:rsid w:val="00CB2C4C"/>
    <w:rsid w:val="00CB580C"/>
    <w:rsid w:val="00CC4C98"/>
    <w:rsid w:val="00CD0F82"/>
    <w:rsid w:val="00CD335A"/>
    <w:rsid w:val="00CD42BC"/>
    <w:rsid w:val="00CD4728"/>
    <w:rsid w:val="00CD6A20"/>
    <w:rsid w:val="00CE49AB"/>
    <w:rsid w:val="00CE4BD0"/>
    <w:rsid w:val="00CF106D"/>
    <w:rsid w:val="00CF79DE"/>
    <w:rsid w:val="00CF7F7F"/>
    <w:rsid w:val="00D0247D"/>
    <w:rsid w:val="00D02ED2"/>
    <w:rsid w:val="00D035B1"/>
    <w:rsid w:val="00D03A05"/>
    <w:rsid w:val="00D05BFD"/>
    <w:rsid w:val="00D1289B"/>
    <w:rsid w:val="00D14C19"/>
    <w:rsid w:val="00D17172"/>
    <w:rsid w:val="00D17A15"/>
    <w:rsid w:val="00D200EB"/>
    <w:rsid w:val="00D21B5A"/>
    <w:rsid w:val="00D24374"/>
    <w:rsid w:val="00D24698"/>
    <w:rsid w:val="00D45249"/>
    <w:rsid w:val="00D5297D"/>
    <w:rsid w:val="00D64AE9"/>
    <w:rsid w:val="00D667C3"/>
    <w:rsid w:val="00D70714"/>
    <w:rsid w:val="00D730B1"/>
    <w:rsid w:val="00D73ECC"/>
    <w:rsid w:val="00D766A3"/>
    <w:rsid w:val="00D81AD4"/>
    <w:rsid w:val="00D82D36"/>
    <w:rsid w:val="00D8598C"/>
    <w:rsid w:val="00D86096"/>
    <w:rsid w:val="00D86652"/>
    <w:rsid w:val="00D96D0A"/>
    <w:rsid w:val="00DA48FF"/>
    <w:rsid w:val="00DA5B13"/>
    <w:rsid w:val="00DB16A9"/>
    <w:rsid w:val="00DB41D4"/>
    <w:rsid w:val="00DB530F"/>
    <w:rsid w:val="00DB5A5C"/>
    <w:rsid w:val="00DB60C1"/>
    <w:rsid w:val="00DB6E94"/>
    <w:rsid w:val="00DC1C60"/>
    <w:rsid w:val="00DC445E"/>
    <w:rsid w:val="00DC5BEE"/>
    <w:rsid w:val="00DD2111"/>
    <w:rsid w:val="00DD56DE"/>
    <w:rsid w:val="00DE0E1B"/>
    <w:rsid w:val="00DE1011"/>
    <w:rsid w:val="00DE2297"/>
    <w:rsid w:val="00DE65D8"/>
    <w:rsid w:val="00DF1D81"/>
    <w:rsid w:val="00DF46B0"/>
    <w:rsid w:val="00DF6DD2"/>
    <w:rsid w:val="00DF7980"/>
    <w:rsid w:val="00E01B8C"/>
    <w:rsid w:val="00E05226"/>
    <w:rsid w:val="00E06D5E"/>
    <w:rsid w:val="00E107DD"/>
    <w:rsid w:val="00E13D5E"/>
    <w:rsid w:val="00E14EF5"/>
    <w:rsid w:val="00E15B1B"/>
    <w:rsid w:val="00E165D5"/>
    <w:rsid w:val="00E21265"/>
    <w:rsid w:val="00E25F4D"/>
    <w:rsid w:val="00E305DD"/>
    <w:rsid w:val="00E312AF"/>
    <w:rsid w:val="00E54B8E"/>
    <w:rsid w:val="00E56F4A"/>
    <w:rsid w:val="00E618BD"/>
    <w:rsid w:val="00E63265"/>
    <w:rsid w:val="00E75235"/>
    <w:rsid w:val="00E75746"/>
    <w:rsid w:val="00E771ED"/>
    <w:rsid w:val="00E811B7"/>
    <w:rsid w:val="00E8191D"/>
    <w:rsid w:val="00E84B39"/>
    <w:rsid w:val="00E8509C"/>
    <w:rsid w:val="00E86580"/>
    <w:rsid w:val="00E91DDC"/>
    <w:rsid w:val="00E9339B"/>
    <w:rsid w:val="00E936DD"/>
    <w:rsid w:val="00E96DDC"/>
    <w:rsid w:val="00E975A5"/>
    <w:rsid w:val="00EA124C"/>
    <w:rsid w:val="00EA351C"/>
    <w:rsid w:val="00EA38FE"/>
    <w:rsid w:val="00EA3A8B"/>
    <w:rsid w:val="00EC39BF"/>
    <w:rsid w:val="00EC3E2A"/>
    <w:rsid w:val="00ED1575"/>
    <w:rsid w:val="00ED5880"/>
    <w:rsid w:val="00ED7069"/>
    <w:rsid w:val="00ED7789"/>
    <w:rsid w:val="00ED7FD2"/>
    <w:rsid w:val="00EF00C2"/>
    <w:rsid w:val="00EF05B1"/>
    <w:rsid w:val="00EF13D5"/>
    <w:rsid w:val="00F00BA8"/>
    <w:rsid w:val="00F015D4"/>
    <w:rsid w:val="00F06C8D"/>
    <w:rsid w:val="00F263A4"/>
    <w:rsid w:val="00F277E2"/>
    <w:rsid w:val="00F31C2C"/>
    <w:rsid w:val="00F37579"/>
    <w:rsid w:val="00F41766"/>
    <w:rsid w:val="00F43FCB"/>
    <w:rsid w:val="00F44040"/>
    <w:rsid w:val="00F44E79"/>
    <w:rsid w:val="00F44FED"/>
    <w:rsid w:val="00F515AF"/>
    <w:rsid w:val="00F55DFF"/>
    <w:rsid w:val="00F5636C"/>
    <w:rsid w:val="00F56632"/>
    <w:rsid w:val="00F6530D"/>
    <w:rsid w:val="00F75A74"/>
    <w:rsid w:val="00F7737D"/>
    <w:rsid w:val="00F803D8"/>
    <w:rsid w:val="00F917DA"/>
    <w:rsid w:val="00F92492"/>
    <w:rsid w:val="00F92870"/>
    <w:rsid w:val="00FB0902"/>
    <w:rsid w:val="00FB3074"/>
    <w:rsid w:val="00FB344B"/>
    <w:rsid w:val="00FB4BBB"/>
    <w:rsid w:val="00FB5718"/>
    <w:rsid w:val="00FD2C62"/>
    <w:rsid w:val="00FD456A"/>
    <w:rsid w:val="00FD5D39"/>
    <w:rsid w:val="00FE2595"/>
    <w:rsid w:val="00FE3E87"/>
    <w:rsid w:val="00FF194E"/>
    <w:rsid w:val="00FF42E2"/>
    <w:rsid w:val="00FF5E8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B4AD76"/>
  <w15:docId w15:val="{4C83E71C-6C4C-406B-B3C9-B6E4782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98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595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2595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styleId="Heading3">
    <w:name w:val="heading 3"/>
    <w:aliases w:val="Heading 3 Char2,Heading 3 Char1 Char,Heading 3 Char Char Char,Headi...,Heading 3 Char1 Char Char Char,Heading 3 Char Char Char Char Char,Heading 3 Char1 Char Char Char Char Char,Heading 3 Char Char Char Char Char Char Char,Heading 3 Char Char1"/>
    <w:basedOn w:val="Normal"/>
    <w:next w:val="Normal"/>
    <w:link w:val="Heading3Char"/>
    <w:uiPriority w:val="9"/>
    <w:qFormat/>
    <w:rsid w:val="00FE259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00D7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6A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A18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customStyle="1" w:styleId="Documenttitle">
    <w:name w:val="Document title"/>
    <w:basedOn w:val="Normal"/>
    <w:qFormat/>
    <w:rsid w:val="00CA3E45"/>
    <w:pPr>
      <w:spacing w:after="0" w:line="720" w:lineRule="atLeast"/>
    </w:pPr>
    <w:rPr>
      <w:b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aliases w:val="Heading 3 Char2 Char,Heading 3 Char1 Char Char,Heading 3 Char Char Char Char,Headi... Char,Heading 3 Char1 Char Char Char Char,Heading 3 Char Char Char Char Char Char,Heading 3 Char1 Char Char Char Char Char Char,Heading 3 Char Char1 Char"/>
    <w:basedOn w:val="DefaultParagraphFont"/>
    <w:link w:val="Heading3"/>
    <w:uiPriority w:val="9"/>
    <w:rsid w:val="00FE2595"/>
    <w:rPr>
      <w:rFonts w:asciiTheme="majorHAnsi" w:eastAsiaTheme="majorEastAsia" w:hAnsiTheme="majorHAnsi" w:cstheme="majorBidi"/>
      <w:b/>
      <w:bCs/>
      <w:color w:val="00D7BD" w:themeColor="accent1"/>
      <w:sz w:val="20"/>
    </w:rPr>
  </w:style>
  <w:style w:type="paragraph" w:styleId="ListParagraph">
    <w:name w:val="List Paragraph"/>
    <w:basedOn w:val="Normal"/>
    <w:uiPriority w:val="34"/>
    <w:qFormat/>
    <w:rsid w:val="00621C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C4A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C4A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4">
    <w:name w:val="Grid Table 4 Accent 4"/>
    <w:basedOn w:val="TableNormal"/>
    <w:uiPriority w:val="49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9C24FF" w:themeColor="accent4" w:themeTint="99"/>
        <w:left w:val="single" w:sz="4" w:space="0" w:color="9C24FF" w:themeColor="accent4" w:themeTint="99"/>
        <w:bottom w:val="single" w:sz="4" w:space="0" w:color="9C24FF" w:themeColor="accent4" w:themeTint="99"/>
        <w:right w:val="single" w:sz="4" w:space="0" w:color="9C24FF" w:themeColor="accent4" w:themeTint="99"/>
        <w:insideH w:val="single" w:sz="4" w:space="0" w:color="9C24FF" w:themeColor="accent4" w:themeTint="99"/>
        <w:insideV w:val="single" w:sz="4" w:space="0" w:color="9C24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0091" w:themeColor="accent4"/>
          <w:left w:val="single" w:sz="4" w:space="0" w:color="500091" w:themeColor="accent4"/>
          <w:bottom w:val="single" w:sz="4" w:space="0" w:color="500091" w:themeColor="accent4"/>
          <w:right w:val="single" w:sz="4" w:space="0" w:color="500091" w:themeColor="accent4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</w:rPr>
      <w:tblPr/>
      <w:tcPr>
        <w:tcBorders>
          <w:top w:val="double" w:sz="4" w:space="0" w:color="5000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B6FF" w:themeFill="accent4" w:themeFillTint="33"/>
      </w:tcPr>
    </w:tblStylePr>
    <w:tblStylePr w:type="band1Horz">
      <w:tblPr/>
      <w:tcPr>
        <w:shd w:val="clear" w:color="auto" w:fill="DEB6FF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B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BFD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FD"/>
    <w:rPr>
      <w:b/>
      <w:bCs/>
      <w:color w:val="000000" w:themeColor="text1"/>
      <w:sz w:val="20"/>
      <w:szCs w:val="20"/>
    </w:rPr>
  </w:style>
  <w:style w:type="table" w:styleId="ListTable3-Accent1">
    <w:name w:val="List Table 3 Accent 1"/>
    <w:basedOn w:val="TableNormal"/>
    <w:uiPriority w:val="48"/>
    <w:rsid w:val="003F4C4B"/>
    <w:pPr>
      <w:spacing w:after="0" w:line="240" w:lineRule="auto"/>
    </w:pPr>
    <w:tblPr>
      <w:tblStyleRowBandSize w:val="1"/>
      <w:tblStyleColBandSize w:val="1"/>
      <w:tblBorders>
        <w:top w:val="single" w:sz="4" w:space="0" w:color="00D7BD" w:themeColor="accent1"/>
        <w:left w:val="single" w:sz="4" w:space="0" w:color="00D7BD" w:themeColor="accent1"/>
        <w:bottom w:val="single" w:sz="4" w:space="0" w:color="00D7BD" w:themeColor="accent1"/>
        <w:right w:val="single" w:sz="4" w:space="0" w:color="00D7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7BD" w:themeFill="accent1"/>
      </w:tcPr>
    </w:tblStylePr>
    <w:tblStylePr w:type="lastRow">
      <w:rPr>
        <w:b/>
        <w:bCs/>
      </w:rPr>
      <w:tblPr/>
      <w:tcPr>
        <w:tcBorders>
          <w:top w:val="double" w:sz="4" w:space="0" w:color="00D7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7BD" w:themeColor="accent1"/>
          <w:right w:val="single" w:sz="4" w:space="0" w:color="00D7BD" w:themeColor="accent1"/>
        </w:tcBorders>
      </w:tcPr>
    </w:tblStylePr>
    <w:tblStylePr w:type="band1Horz">
      <w:tblPr/>
      <w:tcPr>
        <w:tcBorders>
          <w:top w:val="single" w:sz="4" w:space="0" w:color="00D7BD" w:themeColor="accent1"/>
          <w:bottom w:val="single" w:sz="4" w:space="0" w:color="00D7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7BD" w:themeColor="accent1"/>
          <w:left w:val="nil"/>
        </w:tcBorders>
      </w:tcPr>
    </w:tblStylePr>
    <w:tblStylePr w:type="swCell">
      <w:tblPr/>
      <w:tcPr>
        <w:tcBorders>
          <w:top w:val="double" w:sz="4" w:space="0" w:color="00D7BD" w:themeColor="accent1"/>
          <w:right w:val="nil"/>
        </w:tcBorders>
      </w:tcPr>
    </w:tblStylePr>
  </w:style>
  <w:style w:type="table" w:customStyle="1" w:styleId="Colttop">
    <w:name w:val="Colt top"/>
    <w:basedOn w:val="TableNormal"/>
    <w:uiPriority w:val="99"/>
    <w:rsid w:val="00A86FB4"/>
    <w:pPr>
      <w:spacing w:before="60" w:after="60" w:line="240" w:lineRule="auto"/>
    </w:pPr>
    <w:rPr>
      <w:rFonts w:ascii="Arial" w:hAnsi="Arial"/>
      <w:color w:val="000000" w:themeColor="text1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old" w:hAnsi="Arial Bold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0833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table" w:styleId="GridTable1Light-Accent4">
    <w:name w:val="Grid Table 1 Light Accent 4"/>
    <w:basedOn w:val="TableNormal"/>
    <w:uiPriority w:val="46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BD6DFF" w:themeColor="accent4" w:themeTint="66"/>
        <w:left w:val="single" w:sz="4" w:space="0" w:color="BD6DFF" w:themeColor="accent4" w:themeTint="66"/>
        <w:bottom w:val="single" w:sz="4" w:space="0" w:color="BD6DFF" w:themeColor="accent4" w:themeTint="66"/>
        <w:right w:val="single" w:sz="4" w:space="0" w:color="BD6DFF" w:themeColor="accent4" w:themeTint="66"/>
        <w:insideH w:val="single" w:sz="4" w:space="0" w:color="BD6DFF" w:themeColor="accent4" w:themeTint="66"/>
        <w:insideV w:val="single" w:sz="4" w:space="0" w:color="BD6D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24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24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B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band1Vert">
      <w:tblPr/>
      <w:tcPr>
        <w:shd w:val="clear" w:color="auto" w:fill="BD6DFF" w:themeFill="accent4" w:themeFillTint="66"/>
      </w:tcPr>
    </w:tblStylePr>
    <w:tblStylePr w:type="band1Horz">
      <w:tblPr/>
      <w:tcPr>
        <w:shd w:val="clear" w:color="auto" w:fill="BD6DFF" w:themeFill="accent4" w:themeFillTint="66"/>
      </w:tcPr>
    </w:tblStylePr>
  </w:style>
  <w:style w:type="table" w:styleId="PlainTable2">
    <w:name w:val="Plain Table 2"/>
    <w:basedOn w:val="TableNormal"/>
    <w:uiPriority w:val="42"/>
    <w:rsid w:val="00C042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2870"/>
    <w:rPr>
      <w:color w:val="0099F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Bullet">
    <w:name w:val="Bullet"/>
    <w:basedOn w:val="Normal"/>
    <w:rsid w:val="009F5EB9"/>
    <w:pPr>
      <w:numPr>
        <w:numId w:val="6"/>
      </w:numPr>
      <w:snapToGrid w:val="0"/>
      <w:spacing w:line="240" w:lineRule="auto"/>
      <w:ind w:left="680" w:hanging="567"/>
    </w:pPr>
    <w:rPr>
      <w:rFonts w:ascii="Arial" w:eastAsia="Times New Roman" w:hAnsi="Arial" w:cs="Times New Roman"/>
      <w:noProof/>
      <w:color w:val="auto"/>
      <w:sz w:val="22"/>
      <w:lang w:eastAsia="en-US"/>
    </w:rPr>
  </w:style>
  <w:style w:type="paragraph" w:customStyle="1" w:styleId="COLTbodycopy">
    <w:name w:val="COLT body copy"/>
    <w:basedOn w:val="Normal"/>
    <w:rsid w:val="009F5EB9"/>
    <w:pPr>
      <w:widowControl w:val="0"/>
      <w:autoSpaceDE w:val="0"/>
      <w:autoSpaceDN w:val="0"/>
      <w:adjustRightInd w:val="0"/>
      <w:spacing w:after="0" w:line="312" w:lineRule="auto"/>
    </w:pPr>
    <w:rPr>
      <w:rFonts w:ascii="Arial" w:eastAsia="MS Mincho" w:hAnsi="Arial" w:cs="Arial"/>
      <w:bCs/>
      <w:color w:val="auto"/>
      <w:sz w:val="22"/>
      <w:szCs w:val="18"/>
      <w:lang w:val="en-US" w:eastAsia="en-GB"/>
    </w:rPr>
  </w:style>
  <w:style w:type="paragraph" w:customStyle="1" w:styleId="A1">
    <w:name w:val="A1"/>
    <w:basedOn w:val="Heading1"/>
    <w:next w:val="Normal"/>
    <w:rsid w:val="009F5EB9"/>
    <w:pPr>
      <w:keepNext w:val="0"/>
      <w:keepLines w:val="0"/>
      <w:widowControl w:val="0"/>
      <w:numPr>
        <w:numId w:val="7"/>
      </w:numPr>
      <w:tabs>
        <w:tab w:val="num" w:pos="360"/>
      </w:tabs>
      <w:autoSpaceDE w:val="0"/>
      <w:autoSpaceDN w:val="0"/>
      <w:adjustRightInd w:val="0"/>
      <w:spacing w:before="240" w:after="240" w:line="312" w:lineRule="auto"/>
      <w:ind w:left="0" w:firstLine="0"/>
    </w:pPr>
    <w:rPr>
      <w:rFonts w:ascii="Arial" w:eastAsia="Times New Roman" w:hAnsi="Arial" w:cs="Arial"/>
      <w:b/>
      <w:color w:val="009DE0"/>
      <w:kern w:val="32"/>
      <w:sz w:val="32"/>
      <w:szCs w:val="32"/>
      <w:lang w:val="en-US" w:eastAsia="en-GB"/>
    </w:rPr>
  </w:style>
  <w:style w:type="paragraph" w:customStyle="1" w:styleId="A2">
    <w:name w:val="A2"/>
    <w:basedOn w:val="A1"/>
    <w:next w:val="Normal"/>
    <w:autoRedefine/>
    <w:qFormat/>
    <w:rsid w:val="009F5EB9"/>
    <w:pPr>
      <w:numPr>
        <w:ilvl w:val="1"/>
        <w:numId w:val="8"/>
      </w:numPr>
      <w:tabs>
        <w:tab w:val="clear" w:pos="448"/>
        <w:tab w:val="num" w:pos="360"/>
        <w:tab w:val="num" w:pos="851"/>
      </w:tabs>
      <w:ind w:left="0" w:hanging="510"/>
      <w:outlineLvl w:val="1"/>
    </w:pPr>
    <w:rPr>
      <w:color w:val="484A47" w:themeColor="text2"/>
      <w:sz w:val="28"/>
    </w:rPr>
  </w:style>
  <w:style w:type="paragraph" w:customStyle="1" w:styleId="A3">
    <w:name w:val="A3"/>
    <w:basedOn w:val="A2"/>
    <w:next w:val="Normal"/>
    <w:qFormat/>
    <w:rsid w:val="009F5EB9"/>
    <w:pPr>
      <w:numPr>
        <w:ilvl w:val="2"/>
      </w:numPr>
      <w:tabs>
        <w:tab w:val="clear" w:pos="448"/>
        <w:tab w:val="num" w:pos="360"/>
      </w:tabs>
      <w:outlineLvl w:val="2"/>
    </w:pPr>
  </w:style>
  <w:style w:type="paragraph" w:customStyle="1" w:styleId="Appendix">
    <w:name w:val="Appendix"/>
    <w:basedOn w:val="Heading1"/>
    <w:next w:val="Normal"/>
    <w:autoRedefine/>
    <w:rsid w:val="009F5EB9"/>
    <w:pPr>
      <w:pageBreakBefore/>
      <w:numPr>
        <w:numId w:val="8"/>
      </w:numPr>
      <w:tabs>
        <w:tab w:val="clear" w:pos="6521"/>
        <w:tab w:val="num" w:pos="360"/>
        <w:tab w:val="num" w:pos="1985"/>
      </w:tabs>
      <w:spacing w:after="240" w:line="360" w:lineRule="auto"/>
      <w:ind w:left="0"/>
    </w:pPr>
    <w:rPr>
      <w:rFonts w:ascii="Arial" w:eastAsia="Times New Roman" w:hAnsi="Arial" w:cs="Arial"/>
      <w:b/>
      <w:bCs w:val="0"/>
      <w:color w:val="484A47" w:themeColor="text2"/>
      <w:sz w:val="32"/>
      <w:szCs w:val="20"/>
      <w:lang w:val="en-US" w:eastAsia="en-US"/>
    </w:rPr>
  </w:style>
  <w:style w:type="numbering" w:customStyle="1" w:styleId="AppendixList">
    <w:name w:val="Appendix List"/>
    <w:rsid w:val="009F5EB9"/>
    <w:pPr>
      <w:numPr>
        <w:numId w:val="7"/>
      </w:numPr>
    </w:pPr>
  </w:style>
  <w:style w:type="paragraph" w:customStyle="1" w:styleId="paragraph">
    <w:name w:val="paragraph"/>
    <w:basedOn w:val="Normal"/>
    <w:rsid w:val="00CA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CA1E59"/>
  </w:style>
  <w:style w:type="paragraph" w:styleId="Revision">
    <w:name w:val="Revision"/>
    <w:hidden/>
    <w:uiPriority w:val="99"/>
    <w:semiHidden/>
    <w:rsid w:val="009A2B89"/>
    <w:pPr>
      <w:spacing w:after="0" w:line="240" w:lineRule="auto"/>
    </w:pPr>
    <w:rPr>
      <w:color w:val="000000" w:themeColor="text1"/>
      <w:sz w:val="20"/>
    </w:rPr>
  </w:style>
  <w:style w:type="character" w:styleId="Mention">
    <w:name w:val="Mention"/>
    <w:basedOn w:val="DefaultParagraphFont"/>
    <w:uiPriority w:val="99"/>
    <w:unhideWhenUsed/>
    <w:rsid w:val="00DE0E1B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65">
    <w:name w:val="xl65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paragraph" w:customStyle="1" w:styleId="xl66">
    <w:name w:val="xl66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en-US" w:eastAsia="ja-JP"/>
    </w:rPr>
  </w:style>
  <w:style w:type="paragraph" w:customStyle="1" w:styleId="xl67">
    <w:name w:val="xl67"/>
    <w:basedOn w:val="Normal"/>
    <w:rsid w:val="003907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68">
    <w:name w:val="xl68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B66A96"/>
    <w:rPr>
      <w:rFonts w:asciiTheme="majorHAnsi" w:eastAsiaTheme="majorEastAsia" w:hAnsiTheme="majorHAnsi" w:cstheme="majorBidi"/>
      <w:i/>
      <w:iCs/>
      <w:color w:val="00A18D" w:themeColor="accent1" w:themeShade="BF"/>
      <w:sz w:val="20"/>
    </w:rPr>
  </w:style>
  <w:style w:type="paragraph" w:styleId="Caption">
    <w:name w:val="caption"/>
    <w:aliases w:val="_cv Caption,VMW Caption"/>
    <w:basedOn w:val="Normal"/>
    <w:next w:val="Normal"/>
    <w:link w:val="CaptionChar"/>
    <w:uiPriority w:val="35"/>
    <w:qFormat/>
    <w:rsid w:val="00B66A96"/>
    <w:pPr>
      <w:spacing w:before="120" w:after="200" w:line="240" w:lineRule="auto"/>
    </w:pPr>
    <w:rPr>
      <w:rFonts w:ascii="Arial" w:hAnsi="Arial"/>
      <w:b/>
      <w:bCs/>
      <w:noProof/>
      <w:color w:val="00D7BD" w:themeColor="accent1"/>
      <w:sz w:val="18"/>
      <w:szCs w:val="18"/>
    </w:rPr>
  </w:style>
  <w:style w:type="character" w:customStyle="1" w:styleId="CaptionChar">
    <w:name w:val="Caption Char"/>
    <w:aliases w:val="_cv Caption Char,VMW Caption Char"/>
    <w:link w:val="Caption"/>
    <w:uiPriority w:val="35"/>
    <w:locked/>
    <w:rsid w:val="00B66A96"/>
    <w:rPr>
      <w:rFonts w:ascii="Arial" w:hAnsi="Arial"/>
      <w:b/>
      <w:bCs/>
      <w:noProof/>
      <w:color w:val="00D7BD" w:themeColor="accent1"/>
      <w:sz w:val="18"/>
      <w:szCs w:val="18"/>
    </w:rPr>
  </w:style>
  <w:style w:type="character" w:customStyle="1" w:styleId="property">
    <w:name w:val="property"/>
    <w:basedOn w:val="DefaultParagraphFont"/>
    <w:rsid w:val="00B66A96"/>
  </w:style>
  <w:style w:type="character" w:customStyle="1" w:styleId="prop-type">
    <w:name w:val="prop-type"/>
    <w:basedOn w:val="DefaultParagraphFont"/>
    <w:rsid w:val="00B66A96"/>
  </w:style>
  <w:style w:type="character" w:customStyle="1" w:styleId="prop-enum">
    <w:name w:val="prop-enum"/>
    <w:basedOn w:val="DefaultParagraphFont"/>
    <w:rsid w:val="00B66A96"/>
  </w:style>
  <w:style w:type="character" w:customStyle="1" w:styleId="header-example">
    <w:name w:val="header-example"/>
    <w:basedOn w:val="DefaultParagraphFont"/>
    <w:rsid w:val="0080403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4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4033"/>
    <w:rPr>
      <w:rFonts w:ascii="Courier New" w:eastAsia="Times New Roman" w:hAnsi="Courier New" w:cs="Courier New"/>
      <w:sz w:val="20"/>
      <w:szCs w:val="20"/>
      <w:lang w:val="en-US" w:eastAsia="ja-JP"/>
    </w:rPr>
  </w:style>
  <w:style w:type="character" w:styleId="HTMLCode">
    <w:name w:val="HTML Code"/>
    <w:basedOn w:val="DefaultParagraphFont"/>
    <w:uiPriority w:val="99"/>
    <w:semiHidden/>
    <w:unhideWhenUsed/>
    <w:rsid w:val="00804033"/>
    <w:rPr>
      <w:rFonts w:ascii="Courier New" w:eastAsia="Times New Roman" w:hAnsi="Courier New" w:cs="Courier New"/>
      <w:sz w:val="20"/>
      <w:szCs w:val="20"/>
    </w:rPr>
  </w:style>
  <w:style w:type="character" w:customStyle="1" w:styleId="hljs-attr">
    <w:name w:val="hljs-attr"/>
    <w:basedOn w:val="DefaultParagraphFont"/>
    <w:rsid w:val="00804033"/>
  </w:style>
  <w:style w:type="character" w:customStyle="1" w:styleId="model-titletext">
    <w:name w:val="model-title__text"/>
    <w:basedOn w:val="DefaultParagraphFont"/>
    <w:rsid w:val="00B050D8"/>
  </w:style>
  <w:style w:type="character" w:customStyle="1" w:styleId="brace-open">
    <w:name w:val="brace-open"/>
    <w:basedOn w:val="DefaultParagraphFont"/>
    <w:rsid w:val="00B050D8"/>
  </w:style>
  <w:style w:type="character" w:customStyle="1" w:styleId="inner-object">
    <w:name w:val="inner-object"/>
    <w:basedOn w:val="DefaultParagraphFont"/>
    <w:rsid w:val="00B050D8"/>
  </w:style>
  <w:style w:type="character" w:customStyle="1" w:styleId="model">
    <w:name w:val="model"/>
    <w:basedOn w:val="DefaultParagraphFont"/>
    <w:rsid w:val="00B050D8"/>
  </w:style>
  <w:style w:type="character" w:customStyle="1" w:styleId="prop">
    <w:name w:val="prop"/>
    <w:basedOn w:val="DefaultParagraphFont"/>
    <w:rsid w:val="00B050D8"/>
  </w:style>
  <w:style w:type="character" w:customStyle="1" w:styleId="prop-format">
    <w:name w:val="prop-format"/>
    <w:basedOn w:val="DefaultParagraphFont"/>
    <w:rsid w:val="00B050D8"/>
  </w:style>
  <w:style w:type="character" w:customStyle="1" w:styleId="false">
    <w:name w:val="false"/>
    <w:basedOn w:val="DefaultParagraphFont"/>
    <w:rsid w:val="00B050D8"/>
  </w:style>
  <w:style w:type="character" w:customStyle="1" w:styleId="brace-close">
    <w:name w:val="brace-close"/>
    <w:basedOn w:val="DefaultParagraphFont"/>
    <w:rsid w:val="00B0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869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74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6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33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36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21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732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070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344164.fs1.hubspotusercontent-na1.net/hubfs/344164/July%202022%20Release%20Notes/NumberHostingServices_v3.13.xsd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344164.fs1.hubspotusercontent-na1.net/hubfs/344164/July%202022%20Release%20Notes/nhm_cbe_v3.13.xs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mberHostingUATSupportTeam@COLT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344164.fs1.hubspotusercontent-na1.net/hubfs/344164/July%202022%20Release%20Notes/Call%20Detail%20Records%20API_13Apr2022.ya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344164.fs1.hubspotusercontent-na1.net/hubfs/344164/July%202022%20Release%20Notes/numberManagement_v2.0.1_13Apr2022.ya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t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81AD4A98B57429763C64AFE11062F" ma:contentTypeVersion="4" ma:contentTypeDescription="Create a new document." ma:contentTypeScope="" ma:versionID="d177e1aaf458281fbe9249faf047f467">
  <xsd:schema xmlns:xsd="http://www.w3.org/2001/XMLSchema" xmlns:xs="http://www.w3.org/2001/XMLSchema" xmlns:p="http://schemas.microsoft.com/office/2006/metadata/properties" xmlns:ns2="1a4cf695-dc57-4154-ae00-ee89fcb8e3b1" targetNamespace="http://schemas.microsoft.com/office/2006/metadata/properties" ma:root="true" ma:fieldsID="25da95f63d836655918dc660d6dab5d5" ns2:_="">
    <xsd:import namespace="1a4cf695-dc57-4154-ae00-ee89fcb8e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f695-dc57-4154-ae00-ee89fcb8e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0C70-0514-4A75-9324-4929B95E8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f695-dc57-4154-ae00-ee89fcb8e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B1102-7548-4D81-9207-51F4288F3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5972FB-229D-41F4-8869-FDBFED5C6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C017B-6417-4FA2-8250-E107B5A8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Colt word template with banner 2021</vt:lpstr>
    </vt:vector>
  </TitlesOfParts>
  <Company>Operandi Limited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Colt word template with banner 2021</dc:title>
  <dc:subject/>
  <dc:creator>Hickling, Penelope</dc:creator>
  <cp:keywords/>
  <dc:description/>
  <cp:lastModifiedBy>Garner, Joseph</cp:lastModifiedBy>
  <cp:revision>3</cp:revision>
  <dcterms:created xsi:type="dcterms:W3CDTF">2022-04-20T14:49:00Z</dcterms:created>
  <dcterms:modified xsi:type="dcterms:W3CDTF">2022-04-20T14:56:00Z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0x010100B2381AD4A98B57429763C64AFE11062F</vt:lpwstr>
  </property>
</Properties>
</file>